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4085931"/>
        <w:docPartObj>
          <w:docPartGallery w:val="Cover Pages"/>
          <w:docPartUnique/>
        </w:docPartObj>
      </w:sdtPr>
      <w:sdtContent>
        <w:p w:rsidR="008D2F4E" w:rsidRPr="000D5239" w:rsidRDefault="008D2F4E" w:rsidP="008D2F4E"/>
        <w:tbl>
          <w:tblPr>
            <w:tblpPr w:leftFromText="187" w:rightFromText="187" w:horzAnchor="margin" w:tblpXSpec="center" w:tblpY="2881"/>
            <w:tblW w:w="4000" w:type="pct"/>
            <w:tblBorders>
              <w:left w:val="single" w:sz="12" w:space="0" w:color="984806" w:themeColor="accent6" w:themeShade="80"/>
            </w:tblBorders>
            <w:tblCellMar>
              <w:left w:w="144" w:type="dxa"/>
              <w:right w:w="115" w:type="dxa"/>
            </w:tblCellMar>
            <w:tblLook w:val="04A0" w:firstRow="1" w:lastRow="0" w:firstColumn="1" w:lastColumn="0" w:noHBand="0" w:noVBand="1"/>
          </w:tblPr>
          <w:tblGrid>
            <w:gridCol w:w="7440"/>
          </w:tblGrid>
          <w:tr w:rsidR="008D2F4E" w:rsidRPr="000D5239" w:rsidTr="006A0F39">
            <w:sdt>
              <w:sdtPr>
                <w:rPr>
                  <w:sz w:val="28"/>
                  <w:szCs w:val="28"/>
                </w:rPr>
                <w:alias w:val="公司"/>
                <w:id w:val="13406915"/>
                <w:dataBinding w:prefixMappings="xmlns:ns0='http://schemas.openxmlformats.org/officeDocument/2006/extended-properties'" w:xpath="/ns0:Properties[1]/ns0:Company[1]" w:storeItemID="{6668398D-A668-4E3E-A5EB-62B293D839F1}"/>
                <w:text/>
              </w:sdtPr>
              <w:sdtContent>
                <w:tc>
                  <w:tcPr>
                    <w:tcW w:w="7672" w:type="dxa"/>
                    <w:tcBorders>
                      <w:top w:val="nil"/>
                      <w:left w:val="single" w:sz="12" w:space="0" w:color="984806" w:themeColor="accent6" w:themeShade="80"/>
                      <w:bottom w:val="nil"/>
                      <w:right w:val="nil"/>
                    </w:tcBorders>
                    <w:tcMar>
                      <w:top w:w="216" w:type="dxa"/>
                      <w:left w:w="115" w:type="dxa"/>
                      <w:bottom w:w="216" w:type="dxa"/>
                      <w:right w:w="115" w:type="dxa"/>
                    </w:tcMar>
                    <w:hideMark/>
                  </w:tcPr>
                  <w:p w:rsidR="008D2F4E" w:rsidRPr="000D5239" w:rsidRDefault="008D2F4E" w:rsidP="006A0F39">
                    <w:pPr>
                      <w:pStyle w:val="a7"/>
                      <w:rPr>
                        <w:sz w:val="28"/>
                        <w:szCs w:val="28"/>
                      </w:rPr>
                    </w:pPr>
                    <w:r w:rsidRPr="000D5239">
                      <w:rPr>
                        <w:rFonts w:hint="eastAsia"/>
                        <w:sz w:val="28"/>
                        <w:szCs w:val="28"/>
                      </w:rPr>
                      <w:t>台州市商务局</w:t>
                    </w:r>
                  </w:p>
                </w:tc>
              </w:sdtContent>
            </w:sdt>
          </w:tr>
          <w:tr w:rsidR="008D2F4E" w:rsidRPr="000D5239" w:rsidTr="006A0F39">
            <w:tc>
              <w:tcPr>
                <w:tcW w:w="7672" w:type="dxa"/>
                <w:tcBorders>
                  <w:top w:val="nil"/>
                  <w:left w:val="single" w:sz="12" w:space="0" w:color="984806" w:themeColor="accent6" w:themeShade="80"/>
                  <w:bottom w:val="nil"/>
                  <w:right w:val="nil"/>
                </w:tcBorders>
                <w:hideMark/>
              </w:tcPr>
              <w:sdt>
                <w:sdtPr>
                  <w:rPr>
                    <w:rFonts w:ascii="方正小标宋简体" w:eastAsia="方正小标宋简体" w:hAnsiTheme="majorHAnsi" w:cstheme="majorBidi"/>
                    <w:sz w:val="96"/>
                    <w:szCs w:val="96"/>
                  </w:rPr>
                  <w:alias w:val="标题"/>
                  <w:id w:val="13406919"/>
                  <w:dataBinding w:prefixMappings="xmlns:ns0='http://schemas.openxmlformats.org/package/2006/metadata/core-properties' xmlns:ns1='http://purl.org/dc/elements/1.1/'" w:xpath="/ns0:coreProperties[1]/ns1:title[1]" w:storeItemID="{6C3C8BC8-F283-45AE-878A-BAB7291924A1}"/>
                  <w:text/>
                </w:sdtPr>
                <w:sdtContent>
                  <w:p w:rsidR="008D2F4E" w:rsidRPr="000D5239" w:rsidRDefault="008D2F4E" w:rsidP="006A0F39">
                    <w:pPr>
                      <w:pStyle w:val="a7"/>
                      <w:spacing w:line="216" w:lineRule="auto"/>
                      <w:rPr>
                        <w:rFonts w:asciiTheme="majorHAnsi" w:eastAsiaTheme="majorEastAsia" w:hAnsiTheme="majorHAnsi" w:cstheme="majorBidi"/>
                        <w:sz w:val="88"/>
                        <w:szCs w:val="88"/>
                      </w:rPr>
                    </w:pPr>
                    <w:r w:rsidRPr="000D5239">
                      <w:rPr>
                        <w:rFonts w:ascii="方正小标宋简体" w:eastAsia="方正小标宋简体" w:hAnsiTheme="majorHAnsi" w:cstheme="majorBidi" w:hint="eastAsia"/>
                        <w:sz w:val="96"/>
                        <w:szCs w:val="96"/>
                      </w:rPr>
                      <w:t>商务统计信息</w:t>
                    </w:r>
                  </w:p>
                </w:sdtContent>
              </w:sdt>
            </w:tc>
          </w:tr>
          <w:tr w:rsidR="008D2F4E" w:rsidRPr="000D5239" w:rsidTr="006A0F39">
            <w:sdt>
              <w:sdtPr>
                <w:rPr>
                  <w:rFonts w:ascii="Arial" w:hAnsi="Arial" w:cs="Arial" w:hint="eastAsia"/>
                  <w:sz w:val="24"/>
                  <w:szCs w:val="24"/>
                </w:rPr>
                <w:alias w:val="副标题"/>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Borders>
                      <w:top w:val="nil"/>
                      <w:left w:val="single" w:sz="12" w:space="0" w:color="984806" w:themeColor="accent6" w:themeShade="80"/>
                      <w:bottom w:val="nil"/>
                      <w:right w:val="nil"/>
                    </w:tcBorders>
                    <w:tcMar>
                      <w:top w:w="216" w:type="dxa"/>
                      <w:left w:w="115" w:type="dxa"/>
                      <w:bottom w:w="216" w:type="dxa"/>
                      <w:right w:w="115" w:type="dxa"/>
                    </w:tcMar>
                    <w:hideMark/>
                  </w:tcPr>
                  <w:p w:rsidR="008D2F4E" w:rsidRPr="000D5239" w:rsidRDefault="008D2F4E" w:rsidP="006A0F39">
                    <w:pPr>
                      <w:pStyle w:val="a7"/>
                      <w:rPr>
                        <w:rFonts w:ascii="Arial" w:hAnsi="Arial" w:cs="Arial"/>
                        <w:sz w:val="24"/>
                        <w:szCs w:val="24"/>
                      </w:rPr>
                    </w:pPr>
                    <w:r>
                      <w:rPr>
                        <w:rFonts w:ascii="Arial" w:hAnsi="Arial" w:cs="Arial" w:hint="eastAsia"/>
                        <w:sz w:val="24"/>
                        <w:szCs w:val="24"/>
                      </w:rPr>
                      <w:t>2018</w:t>
                    </w:r>
                    <w:r w:rsidRPr="000D5239">
                      <w:rPr>
                        <w:rFonts w:ascii="Arial" w:hAnsi="Arial" w:cs="Arial" w:hint="eastAsia"/>
                        <w:sz w:val="24"/>
                        <w:szCs w:val="24"/>
                      </w:rPr>
                      <w:t>年</w:t>
                    </w:r>
                    <w:r>
                      <w:rPr>
                        <w:rFonts w:ascii="Arial" w:hAnsi="Arial" w:cs="Arial" w:hint="eastAsia"/>
                        <w:sz w:val="24"/>
                        <w:szCs w:val="24"/>
                      </w:rPr>
                      <w:t>1-12</w:t>
                    </w:r>
                    <w:r w:rsidRPr="000D5239">
                      <w:rPr>
                        <w:rFonts w:ascii="Arial" w:hAnsi="Arial" w:cs="Arial" w:hint="eastAsia"/>
                        <w:sz w:val="24"/>
                        <w:szCs w:val="24"/>
                      </w:rPr>
                      <w:t>月</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174"/>
          </w:tblGrid>
          <w:tr w:rsidR="008D2F4E" w:rsidRPr="000D5239" w:rsidTr="006A0F39">
            <w:tc>
              <w:tcPr>
                <w:tcW w:w="7221" w:type="dxa"/>
                <w:tcMar>
                  <w:top w:w="216" w:type="dxa"/>
                  <w:left w:w="115" w:type="dxa"/>
                  <w:bottom w:w="216" w:type="dxa"/>
                  <w:right w:w="115" w:type="dxa"/>
                </w:tcMar>
              </w:tcPr>
              <w:sdt>
                <w:sdtPr>
                  <w:rPr>
                    <w:rFonts w:ascii="Arial" w:hAnsi="Arial" w:cs="Arial"/>
                    <w:sz w:val="24"/>
                    <w:szCs w:val="24"/>
                  </w:rPr>
                  <w:alias w:val="作者"/>
                  <w:id w:val="13406928"/>
                  <w:dataBinding w:prefixMappings="xmlns:ns0='http://schemas.openxmlformats.org/package/2006/metadata/core-properties' xmlns:ns1='http://purl.org/dc/elements/1.1/'" w:xpath="/ns0:coreProperties[1]/ns1:creator[1]" w:storeItemID="{6C3C8BC8-F283-45AE-878A-BAB7291924A1}"/>
                  <w:text/>
                </w:sdtPr>
                <w:sdtContent>
                  <w:p w:rsidR="008D2F4E" w:rsidRPr="000D5239" w:rsidRDefault="008D2F4E" w:rsidP="006A0F39">
                    <w:pPr>
                      <w:pStyle w:val="a7"/>
                      <w:rPr>
                        <w:rFonts w:ascii="Arial" w:hAnsi="Arial" w:cs="Arial"/>
                        <w:sz w:val="28"/>
                        <w:szCs w:val="28"/>
                      </w:rPr>
                    </w:pPr>
                    <w:r w:rsidRPr="000D5239">
                      <w:rPr>
                        <w:rFonts w:ascii="Arial" w:hAnsi="Arial" w:cs="Arial" w:hint="eastAsia"/>
                        <w:sz w:val="24"/>
                        <w:szCs w:val="24"/>
                      </w:rPr>
                      <w:t>办公室：</w:t>
                    </w:r>
                    <w:r w:rsidRPr="000D5239">
                      <w:rPr>
                        <w:rFonts w:ascii="Arial" w:hAnsi="Arial" w:cs="Arial"/>
                        <w:sz w:val="24"/>
                        <w:szCs w:val="24"/>
                      </w:rPr>
                      <w:t>tzswjzhc@163.com</w:t>
                    </w:r>
                  </w:p>
                </w:sdtContent>
              </w:sdt>
              <w:sdt>
                <w:sdtPr>
                  <w:rPr>
                    <w:rFonts w:ascii="Arial" w:hAnsi="Arial" w:cs="Arial" w:hint="eastAsia"/>
                    <w:sz w:val="24"/>
                    <w:szCs w:val="24"/>
                  </w:rPr>
                  <w:alias w:val="发布日期"/>
                  <w:id w:val="-1501418464"/>
                  <w:dataBinding w:prefixMappings="xmlns:ns0='http://schemas.microsoft.com/office/2006/coverPageProps' " w:xpath="/ns0:CoverPageProperties[1]/ns0:PublishDate[1]" w:storeItemID="{55AF091B-3C7A-41E3-B477-F2FDAA23CFDA}"/>
                  <w:date w:fullDate="2019-01-31T00:00:00Z">
                    <w:dateFormat w:val="yyyy.MM.dd"/>
                    <w:lid w:val="zh-CN"/>
                    <w:storeMappedDataAs w:val="dateTime"/>
                    <w:calendar w:val="gregorian"/>
                  </w:date>
                </w:sdtPr>
                <w:sdtContent>
                  <w:p w:rsidR="008D2F4E" w:rsidRPr="000D5239" w:rsidRDefault="008D2F4E" w:rsidP="006A0F39">
                    <w:pPr>
                      <w:pStyle w:val="a7"/>
                      <w:rPr>
                        <w:rFonts w:ascii="Arial" w:hAnsi="Arial" w:cs="Arial"/>
                        <w:sz w:val="24"/>
                        <w:szCs w:val="24"/>
                      </w:rPr>
                    </w:pPr>
                    <w:r>
                      <w:rPr>
                        <w:rFonts w:ascii="Arial" w:hAnsi="Arial" w:cs="Arial" w:hint="eastAsia"/>
                        <w:sz w:val="24"/>
                        <w:szCs w:val="24"/>
                      </w:rPr>
                      <w:t>2019.01.31</w:t>
                    </w:r>
                  </w:p>
                </w:sdtContent>
              </w:sdt>
              <w:p w:rsidR="008D2F4E" w:rsidRPr="000D5239" w:rsidRDefault="008D2F4E" w:rsidP="006A0F39">
                <w:pPr>
                  <w:pStyle w:val="a7"/>
                </w:pPr>
              </w:p>
            </w:tc>
          </w:tr>
        </w:tbl>
        <w:p w:rsidR="008D2F4E" w:rsidRDefault="008D2F4E" w:rsidP="008D2F4E">
          <w:pPr>
            <w:widowControl/>
            <w:jc w:val="left"/>
            <w:sectPr w:rsidR="008D2F4E" w:rsidSect="00200601">
              <w:footerReference w:type="default" r:id="rId10"/>
              <w:footerReference w:type="first" r:id="rId11"/>
              <w:pgSz w:w="11906" w:h="16838" w:code="9"/>
              <w:pgMar w:top="1440" w:right="1418" w:bottom="1440" w:left="1418" w:header="851" w:footer="992" w:gutter="0"/>
              <w:pgNumType w:start="1"/>
              <w:cols w:space="425"/>
              <w:docGrid w:type="lines" w:linePitch="362"/>
            </w:sectPr>
          </w:pPr>
          <w:r w:rsidRPr="000D5239">
            <w:br w:type="page"/>
          </w:r>
        </w:p>
      </w:sdtContent>
    </w:sdt>
    <w:p w:rsidR="008D2F4E" w:rsidRDefault="008D2F4E" w:rsidP="008D2F4E">
      <w:pPr>
        <w:pStyle w:val="1"/>
        <w:jc w:val="center"/>
        <w:rPr>
          <w:rFonts w:ascii="黑体" w:eastAsia="黑体" w:hAnsi="黑体"/>
          <w:b w:val="0"/>
          <w:color w:val="000000" w:themeColor="text1"/>
          <w:sz w:val="40"/>
          <w:szCs w:val="40"/>
        </w:rPr>
      </w:pPr>
      <w:bookmarkStart w:id="0" w:name="_Toc10590"/>
      <w:bookmarkStart w:id="1" w:name="_Toc536608772"/>
      <w:r>
        <w:rPr>
          <w:rFonts w:ascii="黑体" w:eastAsia="黑体" w:hAnsi="黑体" w:hint="eastAsia"/>
          <w:b w:val="0"/>
          <w:color w:val="000000" w:themeColor="text1"/>
          <w:sz w:val="40"/>
          <w:szCs w:val="40"/>
        </w:rPr>
        <w:lastRenderedPageBreak/>
        <w:t>台州商务综合运行分析</w:t>
      </w:r>
      <w:bookmarkEnd w:id="0"/>
      <w:bookmarkEnd w:id="1"/>
    </w:p>
    <w:p w:rsidR="008D2F4E" w:rsidRPr="00736EEE" w:rsidRDefault="008D2F4E" w:rsidP="008D2F4E">
      <w:pPr>
        <w:keepNext/>
        <w:keepLines/>
        <w:tabs>
          <w:tab w:val="left" w:pos="851"/>
        </w:tabs>
        <w:spacing w:before="100" w:beforeAutospacing="1" w:after="100" w:afterAutospacing="1"/>
        <w:ind w:left="420"/>
        <w:rPr>
          <w:rFonts w:ascii="黑体" w:eastAsia="黑体" w:hAnsi="黑体"/>
          <w:color w:val="000000" w:themeColor="text1"/>
        </w:rPr>
      </w:pPr>
      <w:r>
        <w:rPr>
          <w:rFonts w:ascii="黑体" w:eastAsia="黑体" w:hAnsi="黑体" w:hint="eastAsia"/>
          <w:color w:val="000000" w:themeColor="text1"/>
        </w:rPr>
        <w:t>一、</w:t>
      </w:r>
      <w:r w:rsidRPr="00736EEE">
        <w:rPr>
          <w:rFonts w:ascii="黑体" w:eastAsia="黑体" w:hAnsi="黑体" w:hint="eastAsia"/>
          <w:color w:val="000000" w:themeColor="text1"/>
        </w:rPr>
        <w:t>宏观经济</w:t>
      </w:r>
    </w:p>
    <w:p w:rsidR="008D2F4E" w:rsidRDefault="008D2F4E" w:rsidP="008D2F4E">
      <w:pPr>
        <w:spacing w:before="100" w:beforeAutospacing="1" w:after="100" w:afterAutospacing="1"/>
        <w:ind w:firstLineChars="200" w:firstLine="420"/>
        <w:rPr>
          <w:color w:val="000000" w:themeColor="text1"/>
        </w:rPr>
      </w:pPr>
      <w:r w:rsidRPr="005234DB">
        <w:rPr>
          <w:rFonts w:hint="eastAsia"/>
          <w:color w:val="000000" w:themeColor="text1"/>
        </w:rPr>
        <w:t>1-12</w:t>
      </w:r>
      <w:r w:rsidRPr="005234DB">
        <w:rPr>
          <w:rFonts w:hint="eastAsia"/>
          <w:color w:val="000000" w:themeColor="text1"/>
        </w:rPr>
        <w:t>月，社会消费品零售总额</w:t>
      </w:r>
      <w:r w:rsidRPr="005234DB">
        <w:rPr>
          <w:rFonts w:hint="eastAsia"/>
          <w:color w:val="000000" w:themeColor="text1"/>
        </w:rPr>
        <w:t>380987</w:t>
      </w:r>
      <w:r w:rsidRPr="005234DB">
        <w:rPr>
          <w:rFonts w:hint="eastAsia"/>
          <w:color w:val="000000" w:themeColor="text1"/>
        </w:rPr>
        <w:t>亿元，比上年增长</w:t>
      </w:r>
      <w:r w:rsidRPr="005234DB">
        <w:rPr>
          <w:rFonts w:hint="eastAsia"/>
          <w:color w:val="000000" w:themeColor="text1"/>
        </w:rPr>
        <w:t>9.0%</w:t>
      </w:r>
      <w:r w:rsidRPr="005234DB">
        <w:rPr>
          <w:rFonts w:hint="eastAsia"/>
          <w:color w:val="000000" w:themeColor="text1"/>
        </w:rPr>
        <w:t>（扣除价格因素实际增长</w:t>
      </w:r>
      <w:r w:rsidRPr="005234DB">
        <w:rPr>
          <w:rFonts w:hint="eastAsia"/>
          <w:color w:val="000000" w:themeColor="text1"/>
        </w:rPr>
        <w:t>6.9%</w:t>
      </w:r>
      <w:r w:rsidRPr="005234DB">
        <w:rPr>
          <w:rFonts w:hint="eastAsia"/>
          <w:color w:val="000000" w:themeColor="text1"/>
        </w:rPr>
        <w:t>，以下除特殊说明外均为名义增长），增速比</w:t>
      </w:r>
      <w:r w:rsidRPr="005234DB">
        <w:rPr>
          <w:rFonts w:hint="eastAsia"/>
          <w:color w:val="000000" w:themeColor="text1"/>
        </w:rPr>
        <w:t>1-11</w:t>
      </w:r>
      <w:r w:rsidRPr="005234DB">
        <w:rPr>
          <w:rFonts w:hint="eastAsia"/>
          <w:color w:val="000000" w:themeColor="text1"/>
        </w:rPr>
        <w:t>月略低</w:t>
      </w:r>
      <w:r w:rsidRPr="005234DB">
        <w:rPr>
          <w:rFonts w:hint="eastAsia"/>
          <w:color w:val="000000" w:themeColor="text1"/>
        </w:rPr>
        <w:t>0.1</w:t>
      </w:r>
      <w:r w:rsidRPr="005234DB">
        <w:rPr>
          <w:rFonts w:hint="eastAsia"/>
          <w:color w:val="000000" w:themeColor="text1"/>
        </w:rPr>
        <w:t>个百分点。其中，限额以上单位消费品零售额</w:t>
      </w:r>
      <w:r w:rsidRPr="005234DB">
        <w:rPr>
          <w:rFonts w:hint="eastAsia"/>
          <w:color w:val="000000" w:themeColor="text1"/>
        </w:rPr>
        <w:t>145311</w:t>
      </w:r>
      <w:r w:rsidRPr="005234DB">
        <w:rPr>
          <w:rFonts w:hint="eastAsia"/>
          <w:color w:val="000000" w:themeColor="text1"/>
        </w:rPr>
        <w:t>亿元，增长</w:t>
      </w:r>
      <w:r w:rsidRPr="005234DB">
        <w:rPr>
          <w:rFonts w:hint="eastAsia"/>
          <w:color w:val="000000" w:themeColor="text1"/>
        </w:rPr>
        <w:t>5.7%</w:t>
      </w:r>
      <w:r w:rsidRPr="005234DB">
        <w:rPr>
          <w:rFonts w:hint="eastAsia"/>
          <w:color w:val="000000" w:themeColor="text1"/>
        </w:rPr>
        <w:t>。</w:t>
      </w:r>
      <w:r w:rsidRPr="005234DB">
        <w:rPr>
          <w:rFonts w:hint="eastAsia"/>
          <w:color w:val="000000" w:themeColor="text1"/>
        </w:rPr>
        <w:t>12</w:t>
      </w:r>
      <w:r w:rsidRPr="005234DB">
        <w:rPr>
          <w:rFonts w:hint="eastAsia"/>
          <w:color w:val="000000" w:themeColor="text1"/>
        </w:rPr>
        <w:t>月份，社会消费品零售总额</w:t>
      </w:r>
      <w:r w:rsidRPr="005234DB">
        <w:rPr>
          <w:rFonts w:hint="eastAsia"/>
          <w:color w:val="000000" w:themeColor="text1"/>
        </w:rPr>
        <w:t>35893</w:t>
      </w:r>
      <w:r w:rsidRPr="005234DB">
        <w:rPr>
          <w:rFonts w:hint="eastAsia"/>
          <w:color w:val="000000" w:themeColor="text1"/>
        </w:rPr>
        <w:t>亿元，同比名义增长</w:t>
      </w:r>
      <w:r w:rsidRPr="005234DB">
        <w:rPr>
          <w:rFonts w:hint="eastAsia"/>
          <w:color w:val="000000" w:themeColor="text1"/>
        </w:rPr>
        <w:t>8.2%</w:t>
      </w:r>
      <w:r w:rsidRPr="005234DB">
        <w:rPr>
          <w:rFonts w:hint="eastAsia"/>
          <w:color w:val="000000" w:themeColor="text1"/>
        </w:rPr>
        <w:t>，增速比</w:t>
      </w:r>
      <w:r w:rsidRPr="005234DB">
        <w:rPr>
          <w:rFonts w:hint="eastAsia"/>
          <w:color w:val="000000" w:themeColor="text1"/>
        </w:rPr>
        <w:t>11</w:t>
      </w:r>
      <w:r w:rsidRPr="005234DB">
        <w:rPr>
          <w:rFonts w:hint="eastAsia"/>
          <w:color w:val="000000" w:themeColor="text1"/>
        </w:rPr>
        <w:t>月份提高</w:t>
      </w:r>
      <w:r w:rsidRPr="005234DB">
        <w:rPr>
          <w:rFonts w:hint="eastAsia"/>
          <w:color w:val="000000" w:themeColor="text1"/>
        </w:rPr>
        <w:t>0.1</w:t>
      </w:r>
      <w:r w:rsidRPr="005234DB">
        <w:rPr>
          <w:rFonts w:hint="eastAsia"/>
          <w:color w:val="000000" w:themeColor="text1"/>
        </w:rPr>
        <w:t>个百分点。其中，限额以上单位消费品零售额</w:t>
      </w:r>
      <w:r w:rsidRPr="005234DB">
        <w:rPr>
          <w:rFonts w:hint="eastAsia"/>
          <w:color w:val="000000" w:themeColor="text1"/>
        </w:rPr>
        <w:t>15084</w:t>
      </w:r>
      <w:r w:rsidRPr="005234DB">
        <w:rPr>
          <w:rFonts w:hint="eastAsia"/>
          <w:color w:val="000000" w:themeColor="text1"/>
        </w:rPr>
        <w:t>亿元，增长</w:t>
      </w:r>
      <w:r w:rsidRPr="005234DB">
        <w:rPr>
          <w:rFonts w:hint="eastAsia"/>
          <w:color w:val="000000" w:themeColor="text1"/>
        </w:rPr>
        <w:t>2.4%</w:t>
      </w:r>
      <w:r w:rsidRPr="005234DB">
        <w:rPr>
          <w:rFonts w:hint="eastAsia"/>
          <w:color w:val="000000" w:themeColor="text1"/>
        </w:rPr>
        <w:t>。</w:t>
      </w:r>
    </w:p>
    <w:p w:rsidR="008D2F4E" w:rsidRDefault="008D2F4E" w:rsidP="008D2F4E">
      <w:pPr>
        <w:spacing w:before="100" w:beforeAutospacing="1" w:after="100" w:afterAutospacing="1"/>
        <w:ind w:firstLineChars="200" w:firstLine="420"/>
        <w:rPr>
          <w:color w:val="000000" w:themeColor="text1"/>
        </w:rPr>
      </w:pPr>
      <w:r w:rsidRPr="00085621">
        <w:rPr>
          <w:rFonts w:hint="eastAsia"/>
          <w:color w:val="000000" w:themeColor="text1"/>
        </w:rPr>
        <w:t>12</w:t>
      </w:r>
      <w:r w:rsidRPr="00085621">
        <w:rPr>
          <w:rFonts w:hint="eastAsia"/>
          <w:color w:val="000000" w:themeColor="text1"/>
        </w:rPr>
        <w:t>月份，全国居民消费价格同比上涨</w:t>
      </w:r>
      <w:r w:rsidRPr="00085621">
        <w:rPr>
          <w:rFonts w:hint="eastAsia"/>
          <w:color w:val="000000" w:themeColor="text1"/>
        </w:rPr>
        <w:t>1.9%</w:t>
      </w:r>
      <w:r w:rsidRPr="00085621">
        <w:rPr>
          <w:rFonts w:hint="eastAsia"/>
          <w:color w:val="000000" w:themeColor="text1"/>
        </w:rPr>
        <w:t>。其中，城市上涨</w:t>
      </w:r>
      <w:r w:rsidRPr="00085621">
        <w:rPr>
          <w:rFonts w:hint="eastAsia"/>
          <w:color w:val="000000" w:themeColor="text1"/>
        </w:rPr>
        <w:t>1.9%</w:t>
      </w:r>
      <w:r w:rsidRPr="00085621">
        <w:rPr>
          <w:rFonts w:hint="eastAsia"/>
          <w:color w:val="000000" w:themeColor="text1"/>
        </w:rPr>
        <w:t>，农村上涨</w:t>
      </w:r>
      <w:r w:rsidRPr="00085621">
        <w:rPr>
          <w:rFonts w:hint="eastAsia"/>
          <w:color w:val="000000" w:themeColor="text1"/>
        </w:rPr>
        <w:t>1.9%</w:t>
      </w:r>
      <w:r w:rsidRPr="00085621">
        <w:rPr>
          <w:rFonts w:hint="eastAsia"/>
          <w:color w:val="000000" w:themeColor="text1"/>
        </w:rPr>
        <w:t>；食品价格上涨</w:t>
      </w:r>
      <w:r w:rsidRPr="00085621">
        <w:rPr>
          <w:rFonts w:hint="eastAsia"/>
          <w:color w:val="000000" w:themeColor="text1"/>
        </w:rPr>
        <w:t>2.5%</w:t>
      </w:r>
      <w:r w:rsidRPr="00085621">
        <w:rPr>
          <w:rFonts w:hint="eastAsia"/>
          <w:color w:val="000000" w:themeColor="text1"/>
        </w:rPr>
        <w:t>，非食品价格上涨</w:t>
      </w:r>
      <w:r w:rsidRPr="00085621">
        <w:rPr>
          <w:rFonts w:hint="eastAsia"/>
          <w:color w:val="000000" w:themeColor="text1"/>
        </w:rPr>
        <w:t>1.7%</w:t>
      </w:r>
      <w:r w:rsidRPr="00085621">
        <w:rPr>
          <w:rFonts w:hint="eastAsia"/>
          <w:color w:val="000000" w:themeColor="text1"/>
        </w:rPr>
        <w:t>；消费品价格上涨</w:t>
      </w:r>
      <w:r w:rsidRPr="00085621">
        <w:rPr>
          <w:rFonts w:hint="eastAsia"/>
          <w:color w:val="000000" w:themeColor="text1"/>
        </w:rPr>
        <w:t>1.7%</w:t>
      </w:r>
      <w:r w:rsidRPr="00085621">
        <w:rPr>
          <w:rFonts w:hint="eastAsia"/>
          <w:color w:val="000000" w:themeColor="text1"/>
        </w:rPr>
        <w:t>，服务价格上涨</w:t>
      </w:r>
      <w:r w:rsidRPr="00085621">
        <w:rPr>
          <w:rFonts w:hint="eastAsia"/>
          <w:color w:val="000000" w:themeColor="text1"/>
        </w:rPr>
        <w:t>2.1%</w:t>
      </w:r>
      <w:r w:rsidRPr="00085621">
        <w:rPr>
          <w:rFonts w:hint="eastAsia"/>
          <w:color w:val="000000" w:themeColor="text1"/>
        </w:rPr>
        <w:t>。</w:t>
      </w:r>
    </w:p>
    <w:p w:rsidR="008D2F4E" w:rsidRDefault="008D2F4E" w:rsidP="008D2F4E">
      <w:pPr>
        <w:spacing w:before="100" w:beforeAutospacing="1" w:after="100" w:afterAutospacing="1"/>
        <w:ind w:firstLineChars="200" w:firstLine="420"/>
        <w:rPr>
          <w:color w:val="000000" w:themeColor="text1"/>
        </w:rPr>
      </w:pPr>
      <w:r>
        <w:rPr>
          <w:rFonts w:hint="eastAsia"/>
          <w:color w:val="000000" w:themeColor="text1"/>
        </w:rPr>
        <w:t>1-12</w:t>
      </w:r>
      <w:r>
        <w:rPr>
          <w:rFonts w:hint="eastAsia"/>
          <w:color w:val="000000" w:themeColor="text1"/>
        </w:rPr>
        <w:t>月份，全国进出口总值</w:t>
      </w:r>
      <w:r>
        <w:rPr>
          <w:rFonts w:hint="eastAsia"/>
          <w:color w:val="000000" w:themeColor="text1"/>
        </w:rPr>
        <w:t>30.5</w:t>
      </w:r>
      <w:proofErr w:type="gramStart"/>
      <w:r>
        <w:rPr>
          <w:rFonts w:hint="eastAsia"/>
          <w:color w:val="000000" w:themeColor="text1"/>
        </w:rPr>
        <w:t>万亿</w:t>
      </w:r>
      <w:proofErr w:type="gramEnd"/>
      <w:r>
        <w:rPr>
          <w:rFonts w:hint="eastAsia"/>
          <w:color w:val="000000" w:themeColor="text1"/>
        </w:rPr>
        <w:t>元人民币，比去年同期（下同）增长</w:t>
      </w:r>
      <w:r>
        <w:rPr>
          <w:rFonts w:hint="eastAsia"/>
          <w:color w:val="000000" w:themeColor="text1"/>
        </w:rPr>
        <w:t>9.7%</w:t>
      </w:r>
      <w:r>
        <w:rPr>
          <w:rFonts w:hint="eastAsia"/>
          <w:color w:val="000000" w:themeColor="text1"/>
        </w:rPr>
        <w:t>。其中，出口</w:t>
      </w:r>
      <w:r>
        <w:rPr>
          <w:rFonts w:hint="eastAsia"/>
          <w:color w:val="000000" w:themeColor="text1"/>
        </w:rPr>
        <w:t>16.4</w:t>
      </w:r>
      <w:proofErr w:type="gramStart"/>
      <w:r>
        <w:rPr>
          <w:rFonts w:hint="eastAsia"/>
          <w:color w:val="000000" w:themeColor="text1"/>
        </w:rPr>
        <w:t>万亿</w:t>
      </w:r>
      <w:proofErr w:type="gramEnd"/>
      <w:r>
        <w:rPr>
          <w:rFonts w:hint="eastAsia"/>
          <w:color w:val="000000" w:themeColor="text1"/>
        </w:rPr>
        <w:t>元，增长</w:t>
      </w:r>
      <w:r>
        <w:rPr>
          <w:rFonts w:hint="eastAsia"/>
          <w:color w:val="000000" w:themeColor="text1"/>
        </w:rPr>
        <w:t>7.1%</w:t>
      </w:r>
      <w:r>
        <w:rPr>
          <w:rFonts w:hint="eastAsia"/>
          <w:color w:val="000000" w:themeColor="text1"/>
        </w:rPr>
        <w:t>；进口</w:t>
      </w:r>
      <w:r>
        <w:rPr>
          <w:rFonts w:hint="eastAsia"/>
          <w:color w:val="000000" w:themeColor="text1"/>
        </w:rPr>
        <w:t>14.1</w:t>
      </w:r>
      <w:proofErr w:type="gramStart"/>
      <w:r>
        <w:rPr>
          <w:rFonts w:hint="eastAsia"/>
          <w:color w:val="000000" w:themeColor="text1"/>
        </w:rPr>
        <w:t>万亿</w:t>
      </w:r>
      <w:proofErr w:type="gramEnd"/>
      <w:r>
        <w:rPr>
          <w:rFonts w:hint="eastAsia"/>
          <w:color w:val="000000" w:themeColor="text1"/>
        </w:rPr>
        <w:t>元，增长</w:t>
      </w:r>
      <w:r>
        <w:rPr>
          <w:rFonts w:hint="eastAsia"/>
          <w:color w:val="000000" w:themeColor="text1"/>
        </w:rPr>
        <w:t>12.9%</w:t>
      </w:r>
      <w:r>
        <w:rPr>
          <w:rFonts w:hint="eastAsia"/>
          <w:color w:val="000000" w:themeColor="text1"/>
        </w:rPr>
        <w:t>；贸易顺差</w:t>
      </w:r>
      <w:r>
        <w:rPr>
          <w:rFonts w:hint="eastAsia"/>
          <w:color w:val="000000" w:themeColor="text1"/>
        </w:rPr>
        <w:t>23303.0</w:t>
      </w:r>
      <w:r>
        <w:rPr>
          <w:rFonts w:hint="eastAsia"/>
          <w:color w:val="000000" w:themeColor="text1"/>
        </w:rPr>
        <w:t>亿元。</w:t>
      </w:r>
      <w:r>
        <w:rPr>
          <w:rFonts w:hint="eastAsia"/>
          <w:color w:val="000000" w:themeColor="text1"/>
        </w:rPr>
        <w:t xml:space="preserve"> </w:t>
      </w:r>
    </w:p>
    <w:p w:rsidR="008D2F4E" w:rsidRDefault="008D2F4E" w:rsidP="008D2F4E">
      <w:pPr>
        <w:spacing w:before="100" w:beforeAutospacing="1" w:after="100" w:afterAutospacing="1"/>
        <w:ind w:firstLineChars="200" w:firstLine="420"/>
        <w:rPr>
          <w:color w:val="000000" w:themeColor="text1"/>
        </w:rPr>
      </w:pPr>
      <w:r>
        <w:rPr>
          <w:rFonts w:hint="eastAsia"/>
          <w:color w:val="000000" w:themeColor="text1"/>
        </w:rPr>
        <w:t>按美元计价，</w:t>
      </w:r>
      <w:r>
        <w:rPr>
          <w:rFonts w:hint="eastAsia"/>
          <w:color w:val="000000" w:themeColor="text1"/>
        </w:rPr>
        <w:t>1-12</w:t>
      </w:r>
      <w:r>
        <w:rPr>
          <w:rFonts w:hint="eastAsia"/>
          <w:color w:val="000000" w:themeColor="text1"/>
        </w:rPr>
        <w:t>月份，全国进出口总值</w:t>
      </w:r>
      <w:r>
        <w:rPr>
          <w:rFonts w:hint="eastAsia"/>
          <w:color w:val="000000" w:themeColor="text1"/>
        </w:rPr>
        <w:t>46230.4</w:t>
      </w:r>
      <w:r>
        <w:rPr>
          <w:rFonts w:hint="eastAsia"/>
          <w:color w:val="000000" w:themeColor="text1"/>
        </w:rPr>
        <w:t>亿美元，增长</w:t>
      </w:r>
      <w:r>
        <w:rPr>
          <w:rFonts w:hint="eastAsia"/>
          <w:color w:val="000000" w:themeColor="text1"/>
        </w:rPr>
        <w:t>12.6%</w:t>
      </w:r>
      <w:r>
        <w:rPr>
          <w:rFonts w:hint="eastAsia"/>
          <w:color w:val="000000" w:themeColor="text1"/>
        </w:rPr>
        <w:t>。其中，出口</w:t>
      </w:r>
      <w:r>
        <w:rPr>
          <w:rFonts w:hint="eastAsia"/>
          <w:color w:val="000000" w:themeColor="text1"/>
        </w:rPr>
        <w:t>24874.0</w:t>
      </w:r>
      <w:r>
        <w:rPr>
          <w:rFonts w:hint="eastAsia"/>
          <w:color w:val="000000" w:themeColor="text1"/>
        </w:rPr>
        <w:t>亿美元，增长</w:t>
      </w:r>
      <w:r>
        <w:rPr>
          <w:rFonts w:hint="eastAsia"/>
          <w:color w:val="000000" w:themeColor="text1"/>
        </w:rPr>
        <w:t>9.9%</w:t>
      </w:r>
      <w:r>
        <w:rPr>
          <w:rFonts w:hint="eastAsia"/>
          <w:color w:val="000000" w:themeColor="text1"/>
        </w:rPr>
        <w:t>；进口</w:t>
      </w:r>
      <w:r>
        <w:rPr>
          <w:rFonts w:hint="eastAsia"/>
          <w:color w:val="000000" w:themeColor="text1"/>
        </w:rPr>
        <w:t>21356.4</w:t>
      </w:r>
      <w:r>
        <w:rPr>
          <w:rFonts w:hint="eastAsia"/>
          <w:color w:val="000000" w:themeColor="text1"/>
        </w:rPr>
        <w:t>亿美元，增长</w:t>
      </w:r>
      <w:r>
        <w:rPr>
          <w:rFonts w:hint="eastAsia"/>
          <w:color w:val="000000" w:themeColor="text1"/>
        </w:rPr>
        <w:t>15.8%</w:t>
      </w:r>
      <w:r>
        <w:rPr>
          <w:rFonts w:hint="eastAsia"/>
          <w:color w:val="000000" w:themeColor="text1"/>
        </w:rPr>
        <w:t>；贸易顺差</w:t>
      </w:r>
      <w:r>
        <w:rPr>
          <w:rFonts w:hint="eastAsia"/>
          <w:color w:val="000000" w:themeColor="text1"/>
        </w:rPr>
        <w:t>3517.6</w:t>
      </w:r>
      <w:r>
        <w:rPr>
          <w:rFonts w:hint="eastAsia"/>
          <w:color w:val="000000" w:themeColor="text1"/>
        </w:rPr>
        <w:t>亿美元。（</w:t>
      </w:r>
      <w:r>
        <w:fldChar w:fldCharType="begin"/>
      </w:r>
      <w:r>
        <w:instrText xml:space="preserve"> REF _Ref390780949 \h  \* MERGEFORMAT </w:instrText>
      </w:r>
      <w:r>
        <w:fldChar w:fldCharType="separate"/>
      </w:r>
      <w:r>
        <w:rPr>
          <w:rFonts w:hint="eastAsia"/>
          <w:color w:val="000000" w:themeColor="text1"/>
        </w:rPr>
        <w:t>图</w:t>
      </w:r>
      <w:r>
        <w:rPr>
          <w:color w:val="000000" w:themeColor="text1"/>
        </w:rPr>
        <w:t>1</w:t>
      </w:r>
      <w:r>
        <w:fldChar w:fldCharType="end"/>
      </w:r>
      <w:r>
        <w:rPr>
          <w:color w:val="000000" w:themeColor="text1"/>
        </w:rPr>
        <w:t>）</w:t>
      </w:r>
    </w:p>
    <w:p w:rsidR="008D2F4E" w:rsidRDefault="008D2F4E" w:rsidP="008D2F4E">
      <w:pPr>
        <w:keepNext/>
        <w:spacing w:before="100" w:beforeAutospacing="1"/>
        <w:jc w:val="center"/>
        <w:rPr>
          <w:color w:val="000000" w:themeColor="text1"/>
        </w:rPr>
      </w:pPr>
      <w:r>
        <w:rPr>
          <w:noProof/>
          <w:color w:val="000000" w:themeColor="text1"/>
        </w:rPr>
        <w:drawing>
          <wp:inline distT="0" distB="0" distL="0" distR="0" wp14:anchorId="7B979872" wp14:editId="01C034AC">
            <wp:extent cx="3654000" cy="21780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4000" cy="2178000"/>
                    </a:xfrm>
                    <a:prstGeom prst="rect">
                      <a:avLst/>
                    </a:prstGeom>
                    <a:noFill/>
                    <a:ln>
                      <a:noFill/>
                    </a:ln>
                  </pic:spPr>
                </pic:pic>
              </a:graphicData>
            </a:graphic>
          </wp:inline>
        </w:drawing>
      </w:r>
    </w:p>
    <w:p w:rsidR="008D2F4E" w:rsidRDefault="008D2F4E" w:rsidP="008D2F4E">
      <w:pPr>
        <w:pStyle w:val="ac"/>
        <w:jc w:val="center"/>
        <w:rPr>
          <w:color w:val="000000" w:themeColor="text1"/>
        </w:rPr>
      </w:pPr>
      <w:bookmarkStart w:id="2" w:name="_Ref390780949"/>
      <w:r>
        <w:rPr>
          <w:rFonts w:hint="eastAsia"/>
          <w:color w:val="000000" w:themeColor="text1"/>
        </w:rPr>
        <w:t>图</w:t>
      </w:r>
      <w:r>
        <w:rPr>
          <w:color w:val="000000" w:themeColor="text1"/>
        </w:rPr>
        <w:fldChar w:fldCharType="begin"/>
      </w:r>
      <w:r>
        <w:rPr>
          <w:rFonts w:hint="eastAsia"/>
          <w:color w:val="000000" w:themeColor="text1"/>
        </w:rPr>
        <w:instrText xml:space="preserve">SEQ </w:instrText>
      </w:r>
      <w:r>
        <w:rPr>
          <w:rFonts w:hint="eastAsia"/>
          <w:color w:val="000000" w:themeColor="text1"/>
        </w:rPr>
        <w:instrText>图</w:instrText>
      </w:r>
      <w:r>
        <w:rPr>
          <w:rFonts w:hint="eastAsia"/>
          <w:color w:val="000000" w:themeColor="text1"/>
        </w:rPr>
        <w:instrText xml:space="preserve"> \* ARABIC</w:instrText>
      </w:r>
      <w:r>
        <w:rPr>
          <w:color w:val="000000" w:themeColor="text1"/>
        </w:rPr>
        <w:fldChar w:fldCharType="separate"/>
      </w:r>
      <w:r>
        <w:rPr>
          <w:noProof/>
          <w:color w:val="000000" w:themeColor="text1"/>
        </w:rPr>
        <w:t>1</w:t>
      </w:r>
      <w:r>
        <w:rPr>
          <w:color w:val="000000" w:themeColor="text1"/>
        </w:rPr>
        <w:fldChar w:fldCharType="end"/>
      </w:r>
      <w:bookmarkEnd w:id="2"/>
      <w:r>
        <w:rPr>
          <w:color w:val="000000" w:themeColor="text1"/>
        </w:rPr>
        <w:t xml:space="preserve">  201</w:t>
      </w:r>
      <w:r>
        <w:rPr>
          <w:rFonts w:hint="eastAsia"/>
          <w:color w:val="000000" w:themeColor="text1"/>
        </w:rPr>
        <w:t>6</w:t>
      </w:r>
      <w:r>
        <w:rPr>
          <w:color w:val="000000" w:themeColor="text1"/>
        </w:rPr>
        <w:t>-201</w:t>
      </w:r>
      <w:r>
        <w:rPr>
          <w:rFonts w:hint="eastAsia"/>
          <w:color w:val="000000" w:themeColor="text1"/>
        </w:rPr>
        <w:t>8</w:t>
      </w:r>
      <w:r>
        <w:rPr>
          <w:color w:val="000000" w:themeColor="text1"/>
        </w:rPr>
        <w:t>年</w:t>
      </w:r>
      <w:r>
        <w:rPr>
          <w:rFonts w:hint="eastAsia"/>
          <w:color w:val="000000" w:themeColor="text1"/>
        </w:rPr>
        <w:t>全国进出口</w:t>
      </w:r>
      <w:r>
        <w:rPr>
          <w:color w:val="000000" w:themeColor="text1"/>
        </w:rPr>
        <w:t>分月情况（</w:t>
      </w:r>
      <w:r>
        <w:rPr>
          <w:rFonts w:hint="eastAsia"/>
          <w:color w:val="000000" w:themeColor="text1"/>
        </w:rPr>
        <w:t>亿美元</w:t>
      </w:r>
      <w:r>
        <w:rPr>
          <w:color w:val="000000" w:themeColor="text1"/>
        </w:rPr>
        <w:t>）</w:t>
      </w:r>
    </w:p>
    <w:p w:rsidR="008D2F4E" w:rsidRDefault="008D2F4E" w:rsidP="008D2F4E">
      <w:pPr>
        <w:spacing w:line="375" w:lineRule="atLeast"/>
        <w:rPr>
          <w:color w:val="000000" w:themeColor="text1"/>
        </w:rPr>
      </w:pPr>
    </w:p>
    <w:p w:rsidR="008D2F4E" w:rsidRPr="00CE5441" w:rsidRDefault="008D2F4E" w:rsidP="008D2F4E">
      <w:pPr>
        <w:spacing w:line="375" w:lineRule="atLeast"/>
        <w:ind w:firstLineChars="200" w:firstLine="420"/>
        <w:rPr>
          <w:color w:val="000000" w:themeColor="text1"/>
        </w:rPr>
      </w:pPr>
      <w:r w:rsidRPr="005234DB">
        <w:rPr>
          <w:rFonts w:hint="eastAsia"/>
          <w:color w:val="000000" w:themeColor="text1"/>
        </w:rPr>
        <w:t>1-12</w:t>
      </w:r>
      <w:r w:rsidRPr="005234DB">
        <w:rPr>
          <w:rFonts w:hint="eastAsia"/>
          <w:color w:val="000000" w:themeColor="text1"/>
        </w:rPr>
        <w:t>月，全国固定资产投资（不含农户）</w:t>
      </w:r>
      <w:r w:rsidRPr="005234DB">
        <w:rPr>
          <w:rFonts w:hint="eastAsia"/>
          <w:color w:val="000000" w:themeColor="text1"/>
        </w:rPr>
        <w:t>635636</w:t>
      </w:r>
      <w:r w:rsidRPr="005234DB">
        <w:rPr>
          <w:rFonts w:hint="eastAsia"/>
          <w:color w:val="000000" w:themeColor="text1"/>
        </w:rPr>
        <w:t>亿元，比上年增长</w:t>
      </w:r>
      <w:r w:rsidRPr="005234DB">
        <w:rPr>
          <w:rFonts w:hint="eastAsia"/>
          <w:color w:val="000000" w:themeColor="text1"/>
        </w:rPr>
        <w:t>5.9%</w:t>
      </w:r>
      <w:r w:rsidRPr="005234DB">
        <w:rPr>
          <w:rFonts w:hint="eastAsia"/>
          <w:color w:val="000000" w:themeColor="text1"/>
        </w:rPr>
        <w:t>，增速与</w:t>
      </w:r>
      <w:r w:rsidRPr="005234DB">
        <w:rPr>
          <w:rFonts w:hint="eastAsia"/>
          <w:color w:val="000000" w:themeColor="text1"/>
        </w:rPr>
        <w:t>1-11</w:t>
      </w:r>
      <w:r w:rsidRPr="005234DB">
        <w:rPr>
          <w:rFonts w:hint="eastAsia"/>
          <w:color w:val="000000" w:themeColor="text1"/>
        </w:rPr>
        <w:t>月份持平，比上年同期回落</w:t>
      </w:r>
      <w:r w:rsidRPr="005234DB">
        <w:rPr>
          <w:rFonts w:hint="eastAsia"/>
          <w:color w:val="000000" w:themeColor="text1"/>
        </w:rPr>
        <w:t>1.3</w:t>
      </w:r>
      <w:r w:rsidRPr="005234DB">
        <w:rPr>
          <w:rFonts w:hint="eastAsia"/>
          <w:color w:val="000000" w:themeColor="text1"/>
        </w:rPr>
        <w:t>个百分点。从环比速度看，</w:t>
      </w:r>
      <w:r w:rsidRPr="005234DB">
        <w:rPr>
          <w:rFonts w:hint="eastAsia"/>
          <w:color w:val="000000" w:themeColor="text1"/>
        </w:rPr>
        <w:t>12</w:t>
      </w:r>
      <w:r w:rsidRPr="005234DB">
        <w:rPr>
          <w:rFonts w:hint="eastAsia"/>
          <w:color w:val="000000" w:themeColor="text1"/>
        </w:rPr>
        <w:t>月份固定资产投资（不含农户）增长</w:t>
      </w:r>
      <w:r w:rsidRPr="005234DB">
        <w:rPr>
          <w:rFonts w:hint="eastAsia"/>
          <w:color w:val="000000" w:themeColor="text1"/>
        </w:rPr>
        <w:t>0.42%</w:t>
      </w:r>
      <w:r w:rsidRPr="005234DB">
        <w:rPr>
          <w:rFonts w:hint="eastAsia"/>
          <w:color w:val="000000" w:themeColor="text1"/>
        </w:rPr>
        <w:t>。其中，民间固定资产投资</w:t>
      </w:r>
      <w:r w:rsidRPr="005234DB">
        <w:rPr>
          <w:rFonts w:hint="eastAsia"/>
          <w:color w:val="000000" w:themeColor="text1"/>
        </w:rPr>
        <w:t>394051</w:t>
      </w:r>
      <w:r w:rsidRPr="005234DB">
        <w:rPr>
          <w:rFonts w:hint="eastAsia"/>
          <w:color w:val="000000" w:themeColor="text1"/>
        </w:rPr>
        <w:t>亿元，比上年增长</w:t>
      </w:r>
      <w:r w:rsidRPr="005234DB">
        <w:rPr>
          <w:rFonts w:hint="eastAsia"/>
          <w:color w:val="000000" w:themeColor="text1"/>
        </w:rPr>
        <w:t>8.7%</w:t>
      </w:r>
      <w:r w:rsidRPr="005234DB">
        <w:rPr>
          <w:rFonts w:hint="eastAsia"/>
          <w:color w:val="000000" w:themeColor="text1"/>
        </w:rPr>
        <w:t>，增速比上年提高</w:t>
      </w:r>
      <w:r w:rsidRPr="005234DB">
        <w:rPr>
          <w:rFonts w:hint="eastAsia"/>
          <w:color w:val="000000" w:themeColor="text1"/>
        </w:rPr>
        <w:t>2.7</w:t>
      </w:r>
      <w:r w:rsidRPr="005234DB">
        <w:rPr>
          <w:rFonts w:hint="eastAsia"/>
          <w:color w:val="000000" w:themeColor="text1"/>
        </w:rPr>
        <w:t>个百分点。分产业看，第一产业投资</w:t>
      </w:r>
      <w:r w:rsidRPr="005234DB">
        <w:rPr>
          <w:rFonts w:hint="eastAsia"/>
          <w:color w:val="000000" w:themeColor="text1"/>
        </w:rPr>
        <w:t>22413</w:t>
      </w:r>
      <w:r w:rsidRPr="005234DB">
        <w:rPr>
          <w:rFonts w:hint="eastAsia"/>
          <w:color w:val="000000" w:themeColor="text1"/>
        </w:rPr>
        <w:t>亿元，比上年增长</w:t>
      </w:r>
      <w:r w:rsidRPr="005234DB">
        <w:rPr>
          <w:rFonts w:hint="eastAsia"/>
          <w:color w:val="000000" w:themeColor="text1"/>
        </w:rPr>
        <w:t>12.9%</w:t>
      </w:r>
      <w:r w:rsidRPr="005234DB">
        <w:rPr>
          <w:rFonts w:hint="eastAsia"/>
          <w:color w:val="000000" w:themeColor="text1"/>
        </w:rPr>
        <w:t>，增速比</w:t>
      </w:r>
      <w:r w:rsidRPr="005234DB">
        <w:rPr>
          <w:rFonts w:hint="eastAsia"/>
          <w:color w:val="000000" w:themeColor="text1"/>
        </w:rPr>
        <w:t>1-11</w:t>
      </w:r>
      <w:r w:rsidRPr="005234DB">
        <w:rPr>
          <w:rFonts w:hint="eastAsia"/>
          <w:color w:val="000000" w:themeColor="text1"/>
        </w:rPr>
        <w:t>月份提高</w:t>
      </w:r>
      <w:r w:rsidRPr="005234DB">
        <w:rPr>
          <w:rFonts w:hint="eastAsia"/>
          <w:color w:val="000000" w:themeColor="text1"/>
        </w:rPr>
        <w:t>0.7</w:t>
      </w:r>
      <w:r w:rsidRPr="005234DB">
        <w:rPr>
          <w:rFonts w:hint="eastAsia"/>
          <w:color w:val="000000" w:themeColor="text1"/>
        </w:rPr>
        <w:t>个百分点；第二产业投资</w:t>
      </w:r>
      <w:r w:rsidRPr="005234DB">
        <w:rPr>
          <w:rFonts w:hint="eastAsia"/>
          <w:color w:val="000000" w:themeColor="text1"/>
        </w:rPr>
        <w:t>237899</w:t>
      </w:r>
      <w:r w:rsidRPr="005234DB">
        <w:rPr>
          <w:rFonts w:hint="eastAsia"/>
          <w:color w:val="000000" w:themeColor="text1"/>
        </w:rPr>
        <w:t>亿元，增长</w:t>
      </w:r>
      <w:r w:rsidRPr="005234DB">
        <w:rPr>
          <w:rFonts w:hint="eastAsia"/>
          <w:color w:val="000000" w:themeColor="text1"/>
        </w:rPr>
        <w:t>6.2%</w:t>
      </w:r>
      <w:r w:rsidRPr="005234DB">
        <w:rPr>
          <w:rFonts w:hint="eastAsia"/>
          <w:color w:val="000000" w:themeColor="text1"/>
        </w:rPr>
        <w:t>，增速与</w:t>
      </w:r>
      <w:r w:rsidRPr="005234DB">
        <w:rPr>
          <w:rFonts w:hint="eastAsia"/>
          <w:color w:val="000000" w:themeColor="text1"/>
        </w:rPr>
        <w:t>1-11</w:t>
      </w:r>
      <w:r w:rsidRPr="005234DB">
        <w:rPr>
          <w:rFonts w:hint="eastAsia"/>
          <w:color w:val="000000" w:themeColor="text1"/>
        </w:rPr>
        <w:t>月份持平；第三产业投资</w:t>
      </w:r>
      <w:r w:rsidRPr="005234DB">
        <w:rPr>
          <w:rFonts w:hint="eastAsia"/>
          <w:color w:val="000000" w:themeColor="text1"/>
        </w:rPr>
        <w:t>375324</w:t>
      </w:r>
      <w:r w:rsidRPr="005234DB">
        <w:rPr>
          <w:rFonts w:hint="eastAsia"/>
          <w:color w:val="000000" w:themeColor="text1"/>
        </w:rPr>
        <w:t>亿元，增长</w:t>
      </w:r>
      <w:r w:rsidRPr="005234DB">
        <w:rPr>
          <w:rFonts w:hint="eastAsia"/>
          <w:color w:val="000000" w:themeColor="text1"/>
        </w:rPr>
        <w:t>5.5%</w:t>
      </w:r>
      <w:r w:rsidRPr="005234DB">
        <w:rPr>
          <w:rFonts w:hint="eastAsia"/>
          <w:color w:val="000000" w:themeColor="text1"/>
        </w:rPr>
        <w:t>，增速回落</w:t>
      </w:r>
      <w:r w:rsidRPr="005234DB">
        <w:rPr>
          <w:rFonts w:hint="eastAsia"/>
          <w:color w:val="000000" w:themeColor="text1"/>
        </w:rPr>
        <w:t>0.1</w:t>
      </w:r>
      <w:r w:rsidRPr="005234DB">
        <w:rPr>
          <w:rFonts w:hint="eastAsia"/>
          <w:color w:val="000000" w:themeColor="text1"/>
        </w:rPr>
        <w:t>个百分点。</w:t>
      </w:r>
    </w:p>
    <w:p w:rsidR="008D2F4E" w:rsidRDefault="008D2F4E" w:rsidP="008D2F4E">
      <w:pPr>
        <w:spacing w:before="100" w:beforeAutospacing="1" w:after="100" w:afterAutospacing="1"/>
        <w:ind w:firstLineChars="200" w:firstLine="420"/>
        <w:rPr>
          <w:color w:val="000000" w:themeColor="text1"/>
        </w:rPr>
      </w:pPr>
      <w:r w:rsidRPr="00CD60AE">
        <w:rPr>
          <w:rFonts w:hint="eastAsia"/>
          <w:color w:val="000000" w:themeColor="text1"/>
        </w:rPr>
        <w:lastRenderedPageBreak/>
        <w:t>12</w:t>
      </w:r>
      <w:r w:rsidRPr="00CD60AE">
        <w:rPr>
          <w:rFonts w:hint="eastAsia"/>
          <w:color w:val="000000" w:themeColor="text1"/>
        </w:rPr>
        <w:t>月份，规模以上工业增加值同比实际增长</w:t>
      </w:r>
      <w:r w:rsidRPr="00CD60AE">
        <w:rPr>
          <w:rFonts w:hint="eastAsia"/>
          <w:color w:val="000000" w:themeColor="text1"/>
        </w:rPr>
        <w:t>5.7%</w:t>
      </w:r>
      <w:r w:rsidRPr="00CD60AE">
        <w:rPr>
          <w:rFonts w:hint="eastAsia"/>
          <w:color w:val="000000" w:themeColor="text1"/>
        </w:rPr>
        <w:t>（以下增加值增速均为扣除价格因素的实际增长率），增速比</w:t>
      </w:r>
      <w:r w:rsidRPr="00CD60AE">
        <w:rPr>
          <w:rFonts w:hint="eastAsia"/>
          <w:color w:val="000000" w:themeColor="text1"/>
        </w:rPr>
        <w:t>11</w:t>
      </w:r>
      <w:r w:rsidRPr="00CD60AE">
        <w:rPr>
          <w:rFonts w:hint="eastAsia"/>
          <w:color w:val="000000" w:themeColor="text1"/>
        </w:rPr>
        <w:t>月份加快</w:t>
      </w:r>
      <w:r w:rsidRPr="00CD60AE">
        <w:rPr>
          <w:rFonts w:hint="eastAsia"/>
          <w:color w:val="000000" w:themeColor="text1"/>
        </w:rPr>
        <w:t>0.3</w:t>
      </w:r>
      <w:r w:rsidRPr="00CD60AE">
        <w:rPr>
          <w:rFonts w:hint="eastAsia"/>
          <w:color w:val="000000" w:themeColor="text1"/>
        </w:rPr>
        <w:t>个百分点；环比增长</w:t>
      </w:r>
      <w:r w:rsidRPr="00CD60AE">
        <w:rPr>
          <w:rFonts w:hint="eastAsia"/>
          <w:color w:val="000000" w:themeColor="text1"/>
        </w:rPr>
        <w:t>0.54%</w:t>
      </w:r>
      <w:r w:rsidRPr="00CD60AE">
        <w:rPr>
          <w:rFonts w:hint="eastAsia"/>
          <w:color w:val="000000" w:themeColor="text1"/>
        </w:rPr>
        <w:t>。</w:t>
      </w:r>
      <w:r w:rsidRPr="00CD60AE">
        <w:rPr>
          <w:rFonts w:hint="eastAsia"/>
          <w:color w:val="000000" w:themeColor="text1"/>
        </w:rPr>
        <w:t>2018</w:t>
      </w:r>
      <w:r w:rsidRPr="00CD60AE">
        <w:rPr>
          <w:rFonts w:hint="eastAsia"/>
          <w:color w:val="000000" w:themeColor="text1"/>
        </w:rPr>
        <w:t>年全年，规模以上工业增加值同比增长</w:t>
      </w:r>
      <w:r w:rsidRPr="00CD60AE">
        <w:rPr>
          <w:rFonts w:hint="eastAsia"/>
          <w:color w:val="000000" w:themeColor="text1"/>
        </w:rPr>
        <w:t>6.2%</w:t>
      </w:r>
      <w:r w:rsidRPr="00CD60AE">
        <w:rPr>
          <w:rFonts w:hint="eastAsia"/>
          <w:color w:val="000000" w:themeColor="text1"/>
        </w:rPr>
        <w:t>，增速较</w:t>
      </w:r>
      <w:r w:rsidRPr="00CD60AE">
        <w:rPr>
          <w:rFonts w:hint="eastAsia"/>
          <w:color w:val="000000" w:themeColor="text1"/>
        </w:rPr>
        <w:t>1-11</w:t>
      </w:r>
      <w:r w:rsidRPr="00CD60AE">
        <w:rPr>
          <w:rFonts w:hint="eastAsia"/>
          <w:color w:val="000000" w:themeColor="text1"/>
        </w:rPr>
        <w:t>月份回落</w:t>
      </w:r>
      <w:r w:rsidRPr="00CD60AE">
        <w:rPr>
          <w:rFonts w:hint="eastAsia"/>
          <w:color w:val="000000" w:themeColor="text1"/>
        </w:rPr>
        <w:t>0.1</w:t>
      </w:r>
      <w:r>
        <w:rPr>
          <w:rFonts w:hint="eastAsia"/>
          <w:color w:val="000000" w:themeColor="text1"/>
        </w:rPr>
        <w:t>个百分点</w:t>
      </w:r>
      <w:r w:rsidRPr="00116278">
        <w:rPr>
          <w:rFonts w:hint="eastAsia"/>
          <w:color w:val="000000" w:themeColor="text1"/>
        </w:rPr>
        <w:t>。</w:t>
      </w:r>
    </w:p>
    <w:p w:rsidR="008D2F4E" w:rsidRDefault="008D2F4E" w:rsidP="008D2F4E">
      <w:pPr>
        <w:spacing w:before="100" w:beforeAutospacing="1" w:after="100" w:afterAutospacing="1"/>
        <w:ind w:firstLineChars="200" w:firstLine="420"/>
        <w:rPr>
          <w:color w:val="000000" w:themeColor="text1"/>
        </w:rPr>
      </w:pPr>
      <w:r w:rsidRPr="003A089A">
        <w:rPr>
          <w:rFonts w:hint="eastAsia"/>
          <w:color w:val="000000" w:themeColor="text1"/>
        </w:rPr>
        <w:t>12</w:t>
      </w:r>
      <w:r w:rsidRPr="003A089A">
        <w:rPr>
          <w:rFonts w:hint="eastAsia"/>
          <w:color w:val="000000" w:themeColor="text1"/>
        </w:rPr>
        <w:t>月份，全国工业生产者出厂价格同比上涨</w:t>
      </w:r>
      <w:r w:rsidRPr="003A089A">
        <w:rPr>
          <w:rFonts w:hint="eastAsia"/>
          <w:color w:val="000000" w:themeColor="text1"/>
        </w:rPr>
        <w:t>0.9%</w:t>
      </w:r>
      <w:r w:rsidRPr="003A089A">
        <w:rPr>
          <w:rFonts w:hint="eastAsia"/>
          <w:color w:val="000000" w:themeColor="text1"/>
        </w:rPr>
        <w:t>，环比下降</w:t>
      </w:r>
      <w:r w:rsidRPr="003A089A">
        <w:rPr>
          <w:rFonts w:hint="eastAsia"/>
          <w:color w:val="000000" w:themeColor="text1"/>
        </w:rPr>
        <w:t>1.0%</w:t>
      </w:r>
      <w:r w:rsidRPr="003A089A">
        <w:rPr>
          <w:rFonts w:hint="eastAsia"/>
          <w:color w:val="000000" w:themeColor="text1"/>
        </w:rPr>
        <w:t>；工业生产者购进价格同比上涨</w:t>
      </w:r>
      <w:r w:rsidRPr="003A089A">
        <w:rPr>
          <w:rFonts w:hint="eastAsia"/>
          <w:color w:val="000000" w:themeColor="text1"/>
        </w:rPr>
        <w:t>1.6%</w:t>
      </w:r>
      <w:r w:rsidRPr="003A089A">
        <w:rPr>
          <w:rFonts w:hint="eastAsia"/>
          <w:color w:val="000000" w:themeColor="text1"/>
        </w:rPr>
        <w:t>，环比下降</w:t>
      </w:r>
      <w:r w:rsidRPr="003A089A">
        <w:rPr>
          <w:rFonts w:hint="eastAsia"/>
          <w:color w:val="000000" w:themeColor="text1"/>
        </w:rPr>
        <w:t>0.9%</w:t>
      </w:r>
      <w:r w:rsidRPr="003A089A">
        <w:rPr>
          <w:rFonts w:hint="eastAsia"/>
          <w:color w:val="000000" w:themeColor="text1"/>
        </w:rPr>
        <w:t>。全年工业生产者出厂价格比上年上涨</w:t>
      </w:r>
      <w:r w:rsidRPr="003A089A">
        <w:rPr>
          <w:rFonts w:hint="eastAsia"/>
          <w:color w:val="000000" w:themeColor="text1"/>
        </w:rPr>
        <w:t>3.5%</w:t>
      </w:r>
      <w:r w:rsidRPr="003A089A">
        <w:rPr>
          <w:rFonts w:hint="eastAsia"/>
          <w:color w:val="000000" w:themeColor="text1"/>
        </w:rPr>
        <w:t>，工业生产者购进价格上涨</w:t>
      </w:r>
      <w:r w:rsidRPr="003A089A">
        <w:rPr>
          <w:rFonts w:hint="eastAsia"/>
          <w:color w:val="000000" w:themeColor="text1"/>
        </w:rPr>
        <w:t>4.1%</w:t>
      </w:r>
      <w:r w:rsidRPr="000F1950">
        <w:rPr>
          <w:rFonts w:hint="eastAsia"/>
          <w:color w:val="000000" w:themeColor="text1"/>
        </w:rPr>
        <w:t>。</w:t>
      </w:r>
    </w:p>
    <w:p w:rsidR="008D2F4E" w:rsidRDefault="008D2F4E" w:rsidP="008D2F4E">
      <w:pPr>
        <w:spacing w:before="100" w:beforeAutospacing="1" w:after="100" w:afterAutospacing="1"/>
        <w:ind w:firstLineChars="200" w:firstLine="420"/>
        <w:rPr>
          <w:color w:val="000000" w:themeColor="text1"/>
        </w:rPr>
      </w:pPr>
      <w:r>
        <w:rPr>
          <w:color w:val="000000" w:themeColor="text1"/>
        </w:rPr>
        <w:t>1-</w:t>
      </w:r>
      <w:r>
        <w:rPr>
          <w:rFonts w:hint="eastAsia"/>
          <w:color w:val="000000" w:themeColor="text1"/>
        </w:rPr>
        <w:t>12</w:t>
      </w:r>
      <w:r>
        <w:rPr>
          <w:rFonts w:hint="eastAsia"/>
          <w:color w:val="000000" w:themeColor="text1"/>
        </w:rPr>
        <w:t>月份，浙江省进出口</w:t>
      </w:r>
      <w:r>
        <w:rPr>
          <w:rFonts w:hint="eastAsia"/>
          <w:color w:val="000000" w:themeColor="text1"/>
        </w:rPr>
        <w:t>28519.2</w:t>
      </w:r>
      <w:r>
        <w:rPr>
          <w:rFonts w:hint="eastAsia"/>
          <w:color w:val="000000" w:themeColor="text1"/>
        </w:rPr>
        <w:t>亿元，同比增长</w:t>
      </w:r>
      <w:r>
        <w:rPr>
          <w:rFonts w:hint="eastAsia"/>
          <w:color w:val="000000" w:themeColor="text1"/>
        </w:rPr>
        <w:t>11.4</w:t>
      </w:r>
      <w:r>
        <w:rPr>
          <w:color w:val="000000" w:themeColor="text1"/>
        </w:rPr>
        <w:t>%</w:t>
      </w:r>
      <w:r>
        <w:rPr>
          <w:rFonts w:hint="eastAsia"/>
          <w:color w:val="000000" w:themeColor="text1"/>
        </w:rPr>
        <w:t>；其中出口</w:t>
      </w:r>
      <w:r>
        <w:rPr>
          <w:rFonts w:hint="eastAsia"/>
          <w:color w:val="000000" w:themeColor="text1"/>
        </w:rPr>
        <w:t>21182.1</w:t>
      </w:r>
      <w:r>
        <w:rPr>
          <w:rFonts w:hint="eastAsia"/>
          <w:color w:val="000000" w:themeColor="text1"/>
        </w:rPr>
        <w:t>亿元，同比增长</w:t>
      </w:r>
      <w:r>
        <w:rPr>
          <w:rFonts w:hint="eastAsia"/>
          <w:color w:val="000000" w:themeColor="text1"/>
        </w:rPr>
        <w:t>9.0</w:t>
      </w:r>
      <w:r>
        <w:rPr>
          <w:color w:val="000000" w:themeColor="text1"/>
        </w:rPr>
        <w:t>%</w:t>
      </w:r>
      <w:r>
        <w:rPr>
          <w:rFonts w:hint="eastAsia"/>
          <w:color w:val="000000" w:themeColor="text1"/>
        </w:rPr>
        <w:t>；进口</w:t>
      </w:r>
      <w:r>
        <w:rPr>
          <w:rFonts w:hint="eastAsia"/>
          <w:color w:val="000000" w:themeColor="text1"/>
        </w:rPr>
        <w:t>7337.2</w:t>
      </w:r>
      <w:r>
        <w:rPr>
          <w:rFonts w:hint="eastAsia"/>
          <w:color w:val="000000" w:themeColor="text1"/>
        </w:rPr>
        <w:t>亿元，同比增长</w:t>
      </w:r>
      <w:r>
        <w:rPr>
          <w:rFonts w:hint="eastAsia"/>
          <w:color w:val="000000" w:themeColor="text1"/>
        </w:rPr>
        <w:t>19.0</w:t>
      </w:r>
      <w:r>
        <w:rPr>
          <w:color w:val="000000" w:themeColor="text1"/>
        </w:rPr>
        <w:t>%</w:t>
      </w:r>
      <w:r>
        <w:rPr>
          <w:rFonts w:hint="eastAsia"/>
          <w:color w:val="000000" w:themeColor="text1"/>
        </w:rPr>
        <w:t>。（</w:t>
      </w:r>
      <w:r>
        <w:fldChar w:fldCharType="begin"/>
      </w:r>
      <w:r>
        <w:instrText xml:space="preserve"> REF _Ref387867536 \h  \* MERGEFORMAT </w:instrText>
      </w:r>
      <w:r>
        <w:fldChar w:fldCharType="separate"/>
      </w:r>
      <w:r>
        <w:rPr>
          <w:rFonts w:hint="eastAsia"/>
          <w:color w:val="000000" w:themeColor="text1"/>
        </w:rPr>
        <w:t>图</w:t>
      </w:r>
      <w:r>
        <w:rPr>
          <w:color w:val="000000" w:themeColor="text1"/>
        </w:rPr>
        <w:t>2</w:t>
      </w:r>
      <w:r>
        <w:fldChar w:fldCharType="end"/>
      </w:r>
      <w:r>
        <w:rPr>
          <w:color w:val="000000" w:themeColor="text1"/>
        </w:rPr>
        <w:t>）</w:t>
      </w:r>
    </w:p>
    <w:p w:rsidR="008D2F4E" w:rsidRDefault="008D2F4E" w:rsidP="008D2F4E">
      <w:pPr>
        <w:keepNext/>
        <w:spacing w:before="100" w:beforeAutospacing="1"/>
        <w:jc w:val="center"/>
        <w:rPr>
          <w:color w:val="000000" w:themeColor="text1"/>
        </w:rPr>
      </w:pPr>
      <w:r>
        <w:rPr>
          <w:noProof/>
          <w:color w:val="000000" w:themeColor="text1"/>
        </w:rPr>
        <w:drawing>
          <wp:inline distT="0" distB="0" distL="0" distR="0" wp14:anchorId="45B15A10" wp14:editId="3FD8FEC4">
            <wp:extent cx="3664800" cy="21636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64800" cy="2163600"/>
                    </a:xfrm>
                    <a:prstGeom prst="rect">
                      <a:avLst/>
                    </a:prstGeom>
                    <a:noFill/>
                    <a:ln>
                      <a:noFill/>
                    </a:ln>
                  </pic:spPr>
                </pic:pic>
              </a:graphicData>
            </a:graphic>
          </wp:inline>
        </w:drawing>
      </w:r>
    </w:p>
    <w:p w:rsidR="008D2F4E" w:rsidRDefault="008D2F4E" w:rsidP="008D2F4E">
      <w:pPr>
        <w:pStyle w:val="ac"/>
        <w:jc w:val="center"/>
        <w:rPr>
          <w:color w:val="000000" w:themeColor="text1"/>
        </w:rPr>
      </w:pPr>
      <w:bookmarkStart w:id="3" w:name="_Ref387867536"/>
      <w:r>
        <w:rPr>
          <w:rFonts w:hint="eastAsia"/>
          <w:color w:val="000000" w:themeColor="text1"/>
        </w:rPr>
        <w:t>图</w:t>
      </w:r>
      <w:r>
        <w:rPr>
          <w:color w:val="000000" w:themeColor="text1"/>
        </w:rPr>
        <w:fldChar w:fldCharType="begin"/>
      </w:r>
      <w:r>
        <w:rPr>
          <w:rFonts w:hint="eastAsia"/>
          <w:color w:val="000000" w:themeColor="text1"/>
        </w:rPr>
        <w:instrText xml:space="preserve">SEQ </w:instrText>
      </w:r>
      <w:r>
        <w:rPr>
          <w:rFonts w:hint="eastAsia"/>
          <w:color w:val="000000" w:themeColor="text1"/>
        </w:rPr>
        <w:instrText>图</w:instrText>
      </w:r>
      <w:r>
        <w:rPr>
          <w:rFonts w:hint="eastAsia"/>
          <w:color w:val="000000" w:themeColor="text1"/>
        </w:rPr>
        <w:instrText xml:space="preserve"> \* ARABIC</w:instrText>
      </w:r>
      <w:r>
        <w:rPr>
          <w:color w:val="000000" w:themeColor="text1"/>
        </w:rPr>
        <w:fldChar w:fldCharType="separate"/>
      </w:r>
      <w:r>
        <w:rPr>
          <w:noProof/>
          <w:color w:val="000000" w:themeColor="text1"/>
        </w:rPr>
        <w:t>2</w:t>
      </w:r>
      <w:r>
        <w:rPr>
          <w:color w:val="000000" w:themeColor="text1"/>
        </w:rPr>
        <w:fldChar w:fldCharType="end"/>
      </w:r>
      <w:bookmarkEnd w:id="3"/>
      <w:r>
        <w:rPr>
          <w:rFonts w:hint="eastAsia"/>
          <w:color w:val="000000" w:themeColor="text1"/>
        </w:rPr>
        <w:t xml:space="preserve">  2016-2018</w:t>
      </w:r>
      <w:r>
        <w:rPr>
          <w:rFonts w:hint="eastAsia"/>
          <w:color w:val="000000" w:themeColor="text1"/>
        </w:rPr>
        <w:t>年浙江</w:t>
      </w:r>
      <w:r>
        <w:rPr>
          <w:color w:val="000000" w:themeColor="text1"/>
        </w:rPr>
        <w:t>省</w:t>
      </w:r>
      <w:r>
        <w:rPr>
          <w:rFonts w:hint="eastAsia"/>
          <w:color w:val="000000" w:themeColor="text1"/>
        </w:rPr>
        <w:t>进出口额分月情况（亿美元</w:t>
      </w:r>
      <w:r>
        <w:rPr>
          <w:color w:val="000000" w:themeColor="text1"/>
        </w:rPr>
        <w:t>）</w:t>
      </w:r>
    </w:p>
    <w:p w:rsidR="008D2F4E" w:rsidRDefault="008D2F4E" w:rsidP="008D2F4E">
      <w:pPr>
        <w:keepNext/>
        <w:spacing w:before="100" w:beforeAutospacing="1"/>
        <w:jc w:val="center"/>
        <w:rPr>
          <w:b/>
          <w:color w:val="000000" w:themeColor="text1"/>
        </w:rPr>
      </w:pPr>
      <w:r>
        <w:rPr>
          <w:b/>
          <w:noProof/>
          <w:color w:val="000000" w:themeColor="text1"/>
        </w:rPr>
        <w:drawing>
          <wp:inline distT="0" distB="0" distL="0" distR="0" wp14:anchorId="02B285B7" wp14:editId="15C06F29">
            <wp:extent cx="3506400" cy="24012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06400" cy="2401200"/>
                    </a:xfrm>
                    <a:prstGeom prst="rect">
                      <a:avLst/>
                    </a:prstGeom>
                    <a:noFill/>
                    <a:ln>
                      <a:noFill/>
                    </a:ln>
                  </pic:spPr>
                </pic:pic>
              </a:graphicData>
            </a:graphic>
          </wp:inline>
        </w:drawing>
      </w:r>
    </w:p>
    <w:p w:rsidR="008D2F4E" w:rsidRDefault="008D2F4E" w:rsidP="008D2F4E">
      <w:pPr>
        <w:pStyle w:val="ac"/>
        <w:jc w:val="center"/>
        <w:rPr>
          <w:color w:val="000000" w:themeColor="text1"/>
        </w:rPr>
      </w:pPr>
      <w:bookmarkStart w:id="4" w:name="_Ref393748382"/>
      <w:r>
        <w:rPr>
          <w:rFonts w:hint="eastAsia"/>
          <w:color w:val="000000" w:themeColor="text1"/>
        </w:rPr>
        <w:t>图</w:t>
      </w:r>
      <w:r>
        <w:rPr>
          <w:color w:val="000000" w:themeColor="text1"/>
        </w:rPr>
        <w:fldChar w:fldCharType="begin"/>
      </w:r>
      <w:r>
        <w:rPr>
          <w:rFonts w:hint="eastAsia"/>
          <w:color w:val="000000" w:themeColor="text1"/>
        </w:rPr>
        <w:instrText xml:space="preserve">SEQ </w:instrText>
      </w:r>
      <w:r>
        <w:rPr>
          <w:rFonts w:hint="eastAsia"/>
          <w:color w:val="000000" w:themeColor="text1"/>
        </w:rPr>
        <w:instrText>图</w:instrText>
      </w:r>
      <w:r>
        <w:rPr>
          <w:rFonts w:hint="eastAsia"/>
          <w:color w:val="000000" w:themeColor="text1"/>
        </w:rPr>
        <w:instrText xml:space="preserve"> \* ARABIC</w:instrText>
      </w:r>
      <w:r>
        <w:rPr>
          <w:color w:val="000000" w:themeColor="text1"/>
        </w:rPr>
        <w:fldChar w:fldCharType="separate"/>
      </w:r>
      <w:r>
        <w:rPr>
          <w:noProof/>
          <w:color w:val="000000" w:themeColor="text1"/>
        </w:rPr>
        <w:t>3</w:t>
      </w:r>
      <w:r>
        <w:rPr>
          <w:color w:val="000000" w:themeColor="text1"/>
        </w:rPr>
        <w:fldChar w:fldCharType="end"/>
      </w:r>
      <w:bookmarkEnd w:id="4"/>
      <w:r>
        <w:rPr>
          <w:color w:val="000000" w:themeColor="text1"/>
        </w:rPr>
        <w:t xml:space="preserve">  2014-201</w:t>
      </w:r>
      <w:r>
        <w:rPr>
          <w:rFonts w:hint="eastAsia"/>
          <w:color w:val="000000" w:themeColor="text1"/>
        </w:rPr>
        <w:t>8</w:t>
      </w:r>
      <w:r>
        <w:rPr>
          <w:color w:val="000000" w:themeColor="text1"/>
        </w:rPr>
        <w:t>年</w:t>
      </w:r>
      <w:r>
        <w:rPr>
          <w:rFonts w:hint="eastAsia"/>
          <w:color w:val="000000" w:themeColor="text1"/>
        </w:rPr>
        <w:t>干散货运输市场波罗的海综合运价指数（</w:t>
      </w:r>
      <w:r>
        <w:rPr>
          <w:rFonts w:hint="eastAsia"/>
          <w:color w:val="000000" w:themeColor="text1"/>
        </w:rPr>
        <w:t>BDI</w:t>
      </w:r>
      <w:r>
        <w:rPr>
          <w:rFonts w:hint="eastAsia"/>
          <w:color w:val="000000" w:themeColor="text1"/>
        </w:rPr>
        <w:t>）</w:t>
      </w:r>
    </w:p>
    <w:p w:rsidR="008D2F4E" w:rsidRPr="005E2778" w:rsidRDefault="008D2F4E" w:rsidP="008D2F4E">
      <w:pPr>
        <w:spacing w:before="100" w:beforeAutospacing="1" w:after="100" w:afterAutospacing="1"/>
        <w:ind w:firstLineChars="200" w:firstLine="420"/>
        <w:rPr>
          <w:color w:val="000000" w:themeColor="text1"/>
        </w:rPr>
      </w:pPr>
      <w:r>
        <w:rPr>
          <w:rFonts w:hint="eastAsia"/>
          <w:color w:val="000000" w:themeColor="text1"/>
        </w:rPr>
        <w:t>国际运输市场方面，波罗的海干散货指数（</w:t>
      </w:r>
      <w:r>
        <w:rPr>
          <w:rFonts w:hint="eastAsia"/>
          <w:color w:val="000000" w:themeColor="text1"/>
        </w:rPr>
        <w:t>BDI</w:t>
      </w:r>
      <w:r>
        <w:rPr>
          <w:rFonts w:hint="eastAsia"/>
          <w:color w:val="000000" w:themeColor="text1"/>
        </w:rPr>
        <w:t>）</w:t>
      </w:r>
      <w:r>
        <w:rPr>
          <w:rFonts w:hint="eastAsia"/>
          <w:color w:val="000000" w:themeColor="text1"/>
        </w:rPr>
        <w:t>1</w:t>
      </w:r>
      <w:r>
        <w:rPr>
          <w:rFonts w:hint="eastAsia"/>
          <w:color w:val="000000" w:themeColor="text1"/>
        </w:rPr>
        <w:t>月</w:t>
      </w:r>
      <w:r>
        <w:rPr>
          <w:rFonts w:hint="eastAsia"/>
          <w:color w:val="000000" w:themeColor="text1"/>
        </w:rPr>
        <w:t>29</w:t>
      </w:r>
      <w:r>
        <w:rPr>
          <w:rFonts w:hint="eastAsia"/>
          <w:color w:val="000000" w:themeColor="text1"/>
        </w:rPr>
        <w:t>日收报</w:t>
      </w:r>
      <w:r>
        <w:rPr>
          <w:rFonts w:hint="eastAsia"/>
          <w:color w:val="000000" w:themeColor="text1"/>
        </w:rPr>
        <w:t>797</w:t>
      </w:r>
      <w:r>
        <w:rPr>
          <w:rFonts w:hint="eastAsia"/>
          <w:color w:val="000000" w:themeColor="text1"/>
        </w:rPr>
        <w:t>点，涨跌幅为</w:t>
      </w:r>
      <w:r>
        <w:rPr>
          <w:rFonts w:hint="eastAsia"/>
          <w:color w:val="000000" w:themeColor="text1"/>
        </w:rPr>
        <w:t>-6.46%</w:t>
      </w:r>
      <w:r>
        <w:rPr>
          <w:rFonts w:hint="eastAsia"/>
          <w:color w:val="000000" w:themeColor="text1"/>
        </w:rPr>
        <w:t>。由于所有型船运价指数不断下滑，</w:t>
      </w:r>
      <w:r w:rsidRPr="005E2778">
        <w:rPr>
          <w:rFonts w:hint="eastAsia"/>
          <w:color w:val="000000" w:themeColor="text1"/>
        </w:rPr>
        <w:t>波罗的海干散货指数周二连降第七日，跌至近两年最低水平，整体干散货运价为</w:t>
      </w:r>
      <w:r w:rsidRPr="005E2778">
        <w:rPr>
          <w:rFonts w:hint="eastAsia"/>
          <w:color w:val="000000" w:themeColor="text1"/>
        </w:rPr>
        <w:t>2017</w:t>
      </w:r>
      <w:r w:rsidRPr="005E2778">
        <w:rPr>
          <w:rFonts w:hint="eastAsia"/>
          <w:color w:val="000000" w:themeColor="text1"/>
        </w:rPr>
        <w:t>年</w:t>
      </w:r>
      <w:r w:rsidRPr="005E2778">
        <w:rPr>
          <w:rFonts w:hint="eastAsia"/>
          <w:color w:val="000000" w:themeColor="text1"/>
        </w:rPr>
        <w:t>2</w:t>
      </w:r>
      <w:r w:rsidRPr="005E2778">
        <w:rPr>
          <w:rFonts w:hint="eastAsia"/>
          <w:color w:val="000000" w:themeColor="text1"/>
        </w:rPr>
        <w:t>月</w:t>
      </w:r>
      <w:r w:rsidRPr="005E2778">
        <w:rPr>
          <w:rFonts w:hint="eastAsia"/>
          <w:color w:val="000000" w:themeColor="text1"/>
        </w:rPr>
        <w:t>21</w:t>
      </w:r>
      <w:r w:rsidRPr="005E2778">
        <w:rPr>
          <w:rFonts w:hint="eastAsia"/>
          <w:color w:val="000000" w:themeColor="text1"/>
        </w:rPr>
        <w:t>日以来最低。</w:t>
      </w:r>
    </w:p>
    <w:p w:rsidR="008D2F4E" w:rsidRDefault="008D2F4E" w:rsidP="008D2F4E">
      <w:pPr>
        <w:spacing w:before="100" w:beforeAutospacing="1" w:after="100" w:afterAutospacing="1"/>
        <w:ind w:firstLineChars="200" w:firstLine="420"/>
        <w:rPr>
          <w:color w:val="000000" w:themeColor="text1"/>
        </w:rPr>
      </w:pPr>
      <w:r>
        <w:rPr>
          <w:rFonts w:hint="eastAsia"/>
          <w:color w:val="000000" w:themeColor="text1"/>
        </w:rPr>
        <w:lastRenderedPageBreak/>
        <w:t>12</w:t>
      </w:r>
      <w:r>
        <w:rPr>
          <w:rFonts w:hint="eastAsia"/>
          <w:color w:val="000000" w:themeColor="text1"/>
        </w:rPr>
        <w:t>月份，中国官方制造业采购经理指数（</w:t>
      </w:r>
      <w:r>
        <w:rPr>
          <w:rFonts w:hint="eastAsia"/>
          <w:color w:val="000000" w:themeColor="text1"/>
        </w:rPr>
        <w:t>PMI</w:t>
      </w:r>
      <w:r>
        <w:rPr>
          <w:rFonts w:hint="eastAsia"/>
          <w:color w:val="000000" w:themeColor="text1"/>
        </w:rPr>
        <w:t>）为</w:t>
      </w:r>
      <w:r>
        <w:rPr>
          <w:rFonts w:hint="eastAsia"/>
          <w:color w:val="000000" w:themeColor="text1"/>
        </w:rPr>
        <w:t>49.4%</w:t>
      </w:r>
      <w:r>
        <w:rPr>
          <w:rFonts w:hint="eastAsia"/>
          <w:color w:val="000000" w:themeColor="text1"/>
        </w:rPr>
        <w:t>，比上个月下降</w:t>
      </w:r>
      <w:r>
        <w:rPr>
          <w:rFonts w:hint="eastAsia"/>
          <w:color w:val="000000" w:themeColor="text1"/>
        </w:rPr>
        <w:t>0.6</w:t>
      </w:r>
      <w:r>
        <w:rPr>
          <w:rFonts w:hint="eastAsia"/>
          <w:color w:val="000000" w:themeColor="text1"/>
        </w:rPr>
        <w:t>个百分点，</w:t>
      </w:r>
      <w:r>
        <w:rPr>
          <w:rFonts w:ascii="Arial" w:hAnsi="Arial" w:cs="Arial"/>
          <w:color w:val="333333"/>
          <w:shd w:val="clear" w:color="auto" w:fill="FFFFFF"/>
        </w:rPr>
        <w:t>低于临界点，制造业景气度有所减弱</w:t>
      </w:r>
      <w:r>
        <w:rPr>
          <w:rFonts w:hint="eastAsia"/>
          <w:color w:val="000000" w:themeColor="text1"/>
        </w:rPr>
        <w:t>；</w:t>
      </w:r>
      <w:proofErr w:type="gramStart"/>
      <w:r>
        <w:rPr>
          <w:rFonts w:hint="eastAsia"/>
          <w:color w:val="000000" w:themeColor="text1"/>
        </w:rPr>
        <w:t>财新</w:t>
      </w:r>
      <w:proofErr w:type="gramEnd"/>
      <w:r>
        <w:rPr>
          <w:rFonts w:hint="eastAsia"/>
          <w:color w:val="000000" w:themeColor="text1"/>
        </w:rPr>
        <w:t>PMI</w:t>
      </w:r>
      <w:r>
        <w:rPr>
          <w:rFonts w:hint="eastAsia"/>
          <w:color w:val="000000" w:themeColor="text1"/>
        </w:rPr>
        <w:t>为</w:t>
      </w:r>
      <w:r>
        <w:rPr>
          <w:rFonts w:hint="eastAsia"/>
          <w:color w:val="000000" w:themeColor="text1"/>
        </w:rPr>
        <w:t>49.7%</w:t>
      </w:r>
      <w:r>
        <w:rPr>
          <w:rFonts w:hint="eastAsia"/>
          <w:color w:val="000000" w:themeColor="text1"/>
        </w:rPr>
        <w:t>，较上月下降</w:t>
      </w:r>
      <w:r>
        <w:rPr>
          <w:rFonts w:hint="eastAsia"/>
          <w:color w:val="000000" w:themeColor="text1"/>
        </w:rPr>
        <w:t>0.5</w:t>
      </w:r>
      <w:r>
        <w:rPr>
          <w:rFonts w:hint="eastAsia"/>
          <w:color w:val="000000" w:themeColor="text1"/>
        </w:rPr>
        <w:t>个百分点。</w:t>
      </w:r>
      <w:r>
        <w:rPr>
          <w:rFonts w:ascii="Arial" w:hAnsi="Arial" w:cs="Arial"/>
          <w:color w:val="333333"/>
          <w:shd w:val="clear" w:color="auto" w:fill="FFFFFF"/>
        </w:rPr>
        <w:t>2018</w:t>
      </w:r>
      <w:r>
        <w:rPr>
          <w:rFonts w:ascii="Arial" w:hAnsi="Arial" w:cs="Arial"/>
          <w:color w:val="333333"/>
          <w:shd w:val="clear" w:color="auto" w:fill="FFFFFF"/>
        </w:rPr>
        <w:t>年，制造业</w:t>
      </w:r>
      <w:r>
        <w:rPr>
          <w:rFonts w:ascii="Arial" w:hAnsi="Arial" w:cs="Arial"/>
          <w:color w:val="333333"/>
          <w:shd w:val="clear" w:color="auto" w:fill="FFFFFF"/>
        </w:rPr>
        <w:t>PMI</w:t>
      </w:r>
      <w:r>
        <w:rPr>
          <w:rFonts w:ascii="Arial" w:hAnsi="Arial" w:cs="Arial"/>
          <w:color w:val="333333"/>
          <w:shd w:val="clear" w:color="auto" w:fill="FFFFFF"/>
        </w:rPr>
        <w:t>均值为</w:t>
      </w:r>
      <w:r>
        <w:rPr>
          <w:rFonts w:ascii="Arial" w:hAnsi="Arial" w:cs="Arial"/>
          <w:color w:val="333333"/>
          <w:shd w:val="clear" w:color="auto" w:fill="FFFFFF"/>
        </w:rPr>
        <w:t>50.9%</w:t>
      </w:r>
      <w:r>
        <w:rPr>
          <w:rFonts w:ascii="Arial" w:hAnsi="Arial" w:cs="Arial"/>
          <w:color w:val="333333"/>
          <w:shd w:val="clear" w:color="auto" w:fill="FFFFFF"/>
        </w:rPr>
        <w:t>，表明全年制造业总体保持增长。近期受国际贸易摩擦加剧、全球经济增长放缓等多重因素影响，我国制造业发展环境稳中有变，</w:t>
      </w:r>
      <w:r>
        <w:rPr>
          <w:rFonts w:ascii="Arial" w:hAnsi="Arial" w:cs="Arial"/>
          <w:color w:val="333333"/>
          <w:shd w:val="clear" w:color="auto" w:fill="FFFFFF"/>
        </w:rPr>
        <w:t>12</w:t>
      </w:r>
      <w:r>
        <w:rPr>
          <w:rFonts w:ascii="Arial" w:hAnsi="Arial" w:cs="Arial"/>
          <w:color w:val="333333"/>
          <w:shd w:val="clear" w:color="auto" w:fill="FFFFFF"/>
        </w:rPr>
        <w:t>月制造业景气度有所减弱。</w:t>
      </w:r>
      <w:r w:rsidRPr="00E812A9">
        <w:rPr>
          <w:rFonts w:hint="eastAsia"/>
          <w:color w:val="000000" w:themeColor="text1"/>
        </w:rPr>
        <w:t>主要特点</w:t>
      </w:r>
      <w:r>
        <w:rPr>
          <w:rFonts w:hint="eastAsia"/>
          <w:color w:val="000000" w:themeColor="text1"/>
        </w:rPr>
        <w:t>：</w:t>
      </w:r>
      <w:r w:rsidRPr="00212A75">
        <w:rPr>
          <w:rFonts w:hint="eastAsia"/>
          <w:color w:val="000000" w:themeColor="text1"/>
        </w:rPr>
        <w:t>一是市场需求下行压力加大，企业预期趋于谨慎。新订单指数为</w:t>
      </w:r>
      <w:r w:rsidRPr="00212A75">
        <w:rPr>
          <w:rFonts w:hint="eastAsia"/>
          <w:color w:val="000000" w:themeColor="text1"/>
        </w:rPr>
        <w:t>49.7%</w:t>
      </w:r>
      <w:r w:rsidRPr="00212A75">
        <w:rPr>
          <w:rFonts w:hint="eastAsia"/>
          <w:color w:val="000000" w:themeColor="text1"/>
        </w:rPr>
        <w:t>，环比下降</w:t>
      </w:r>
      <w:r w:rsidRPr="00212A75">
        <w:rPr>
          <w:rFonts w:hint="eastAsia"/>
          <w:color w:val="000000" w:themeColor="text1"/>
        </w:rPr>
        <w:t>0.7</w:t>
      </w:r>
      <w:r w:rsidRPr="00212A75">
        <w:rPr>
          <w:rFonts w:hint="eastAsia"/>
          <w:color w:val="000000" w:themeColor="text1"/>
        </w:rPr>
        <w:t>个百分点，生产经营活动预期指数为</w:t>
      </w:r>
      <w:r w:rsidRPr="00212A75">
        <w:rPr>
          <w:rFonts w:hint="eastAsia"/>
          <w:color w:val="000000" w:themeColor="text1"/>
        </w:rPr>
        <w:t>52.7%</w:t>
      </w:r>
      <w:r w:rsidRPr="00212A75">
        <w:rPr>
          <w:rFonts w:hint="eastAsia"/>
          <w:color w:val="000000" w:themeColor="text1"/>
        </w:rPr>
        <w:t>，环比回落</w:t>
      </w:r>
      <w:r w:rsidRPr="00212A75">
        <w:rPr>
          <w:rFonts w:hint="eastAsia"/>
          <w:color w:val="000000" w:themeColor="text1"/>
        </w:rPr>
        <w:t>1.5</w:t>
      </w:r>
      <w:r w:rsidRPr="00212A75">
        <w:rPr>
          <w:rFonts w:hint="eastAsia"/>
          <w:color w:val="000000" w:themeColor="text1"/>
        </w:rPr>
        <w:t>个百分点，均为年内低点。同时，一些行业逐步进入生产淡季，企业对近期市场预期谨慎。二是受外部环境变数较多，内部需求放缓等因素影响，近期进出口景气度走低。新出口订单指数和进口指数分别为</w:t>
      </w:r>
      <w:r w:rsidRPr="00212A75">
        <w:rPr>
          <w:rFonts w:hint="eastAsia"/>
          <w:color w:val="000000" w:themeColor="text1"/>
        </w:rPr>
        <w:t>46.6%</w:t>
      </w:r>
      <w:r w:rsidRPr="00212A75">
        <w:rPr>
          <w:rFonts w:hint="eastAsia"/>
          <w:color w:val="000000" w:themeColor="text1"/>
        </w:rPr>
        <w:t>和</w:t>
      </w:r>
      <w:r w:rsidRPr="00212A75">
        <w:rPr>
          <w:rFonts w:hint="eastAsia"/>
          <w:color w:val="000000" w:themeColor="text1"/>
        </w:rPr>
        <w:t>45.9%</w:t>
      </w:r>
      <w:r w:rsidRPr="00212A75">
        <w:rPr>
          <w:rFonts w:hint="eastAsia"/>
          <w:color w:val="000000" w:themeColor="text1"/>
        </w:rPr>
        <w:t>，环比下降</w:t>
      </w:r>
      <w:r w:rsidRPr="00212A75">
        <w:rPr>
          <w:rFonts w:hint="eastAsia"/>
          <w:color w:val="000000" w:themeColor="text1"/>
        </w:rPr>
        <w:t>0.4</w:t>
      </w:r>
      <w:r w:rsidRPr="00212A75">
        <w:rPr>
          <w:rFonts w:hint="eastAsia"/>
          <w:color w:val="000000" w:themeColor="text1"/>
        </w:rPr>
        <w:t>和</w:t>
      </w:r>
      <w:r w:rsidRPr="00212A75">
        <w:rPr>
          <w:rFonts w:hint="eastAsia"/>
          <w:color w:val="000000" w:themeColor="text1"/>
        </w:rPr>
        <w:t>1.2</w:t>
      </w:r>
      <w:r w:rsidRPr="00212A75">
        <w:rPr>
          <w:rFonts w:hint="eastAsia"/>
          <w:color w:val="000000" w:themeColor="text1"/>
        </w:rPr>
        <w:t>个百分点，均持续位于临界点以下。三是受部分国际大宗商品价格大幅波动等影响，价格指数持续回落。主要原材料购进价格指数和出厂价格指数为年内低点，分别为</w:t>
      </w:r>
      <w:r w:rsidRPr="00212A75">
        <w:rPr>
          <w:rFonts w:hint="eastAsia"/>
          <w:color w:val="000000" w:themeColor="text1"/>
        </w:rPr>
        <w:t>44.8%</w:t>
      </w:r>
      <w:r w:rsidRPr="00212A75">
        <w:rPr>
          <w:rFonts w:hint="eastAsia"/>
          <w:color w:val="000000" w:themeColor="text1"/>
        </w:rPr>
        <w:t>和</w:t>
      </w:r>
      <w:r w:rsidRPr="00212A75">
        <w:rPr>
          <w:rFonts w:hint="eastAsia"/>
          <w:color w:val="000000" w:themeColor="text1"/>
        </w:rPr>
        <w:t>43.3%</w:t>
      </w:r>
      <w:r w:rsidRPr="00212A75">
        <w:rPr>
          <w:rFonts w:hint="eastAsia"/>
          <w:color w:val="000000" w:themeColor="text1"/>
        </w:rPr>
        <w:t>，比上月下降</w:t>
      </w:r>
      <w:r w:rsidRPr="00212A75">
        <w:rPr>
          <w:rFonts w:hint="eastAsia"/>
          <w:color w:val="000000" w:themeColor="text1"/>
        </w:rPr>
        <w:t>5.5</w:t>
      </w:r>
      <w:r w:rsidRPr="00212A75">
        <w:rPr>
          <w:rFonts w:hint="eastAsia"/>
          <w:color w:val="000000" w:themeColor="text1"/>
        </w:rPr>
        <w:t>和</w:t>
      </w:r>
      <w:r w:rsidRPr="00212A75">
        <w:rPr>
          <w:rFonts w:hint="eastAsia"/>
          <w:color w:val="000000" w:themeColor="text1"/>
        </w:rPr>
        <w:t>3.1</w:t>
      </w:r>
      <w:r w:rsidRPr="00212A75">
        <w:rPr>
          <w:rFonts w:hint="eastAsia"/>
          <w:color w:val="000000" w:themeColor="text1"/>
        </w:rPr>
        <w:t>个百分点。其中，石油加工及炼焦业和黑色金属冶炼及压延加工业的主要原材料购进价格指数和出厂价格指数均处于</w:t>
      </w:r>
      <w:r w:rsidRPr="00212A75">
        <w:rPr>
          <w:rFonts w:hint="eastAsia"/>
          <w:color w:val="000000" w:themeColor="text1"/>
        </w:rPr>
        <w:t>35.0%</w:t>
      </w:r>
      <w:r w:rsidRPr="00212A75">
        <w:rPr>
          <w:rFonts w:hint="eastAsia"/>
          <w:color w:val="000000" w:themeColor="text1"/>
        </w:rPr>
        <w:t>以下低位，回落幅度比较明显。四是不同规模企业</w:t>
      </w:r>
      <w:r w:rsidRPr="00212A75">
        <w:rPr>
          <w:rFonts w:hint="eastAsia"/>
          <w:color w:val="000000" w:themeColor="text1"/>
        </w:rPr>
        <w:t>PMI</w:t>
      </w:r>
      <w:r w:rsidRPr="00212A75">
        <w:rPr>
          <w:rFonts w:hint="eastAsia"/>
          <w:color w:val="000000" w:themeColor="text1"/>
        </w:rPr>
        <w:t>均有所回落。大型企业</w:t>
      </w:r>
      <w:r w:rsidRPr="00212A75">
        <w:rPr>
          <w:rFonts w:hint="eastAsia"/>
          <w:color w:val="000000" w:themeColor="text1"/>
        </w:rPr>
        <w:t>PMI</w:t>
      </w:r>
      <w:r w:rsidRPr="00212A75">
        <w:rPr>
          <w:rFonts w:hint="eastAsia"/>
          <w:color w:val="000000" w:themeColor="text1"/>
        </w:rPr>
        <w:t>为</w:t>
      </w:r>
      <w:r w:rsidRPr="00212A75">
        <w:rPr>
          <w:rFonts w:hint="eastAsia"/>
          <w:color w:val="000000" w:themeColor="text1"/>
        </w:rPr>
        <w:t>50.1%</w:t>
      </w:r>
      <w:r w:rsidRPr="00212A75">
        <w:rPr>
          <w:rFonts w:hint="eastAsia"/>
          <w:color w:val="000000" w:themeColor="text1"/>
        </w:rPr>
        <w:t>，比上月回落</w:t>
      </w:r>
      <w:r w:rsidRPr="00212A75">
        <w:rPr>
          <w:rFonts w:hint="eastAsia"/>
          <w:color w:val="000000" w:themeColor="text1"/>
        </w:rPr>
        <w:t>0.5</w:t>
      </w:r>
      <w:r w:rsidRPr="00212A75">
        <w:rPr>
          <w:rFonts w:hint="eastAsia"/>
          <w:color w:val="000000" w:themeColor="text1"/>
        </w:rPr>
        <w:t>个百分点，微高于临界点；中、小型企业</w:t>
      </w:r>
      <w:r w:rsidRPr="00212A75">
        <w:rPr>
          <w:rFonts w:hint="eastAsia"/>
          <w:color w:val="000000" w:themeColor="text1"/>
        </w:rPr>
        <w:t>PMI</w:t>
      </w:r>
      <w:r w:rsidRPr="00212A75">
        <w:rPr>
          <w:rFonts w:hint="eastAsia"/>
          <w:color w:val="000000" w:themeColor="text1"/>
        </w:rPr>
        <w:t>为</w:t>
      </w:r>
      <w:r w:rsidRPr="00212A75">
        <w:rPr>
          <w:rFonts w:hint="eastAsia"/>
          <w:color w:val="000000" w:themeColor="text1"/>
        </w:rPr>
        <w:t>48.4%</w:t>
      </w:r>
      <w:r w:rsidRPr="00212A75">
        <w:rPr>
          <w:rFonts w:hint="eastAsia"/>
          <w:color w:val="000000" w:themeColor="text1"/>
        </w:rPr>
        <w:t>和</w:t>
      </w:r>
      <w:r w:rsidRPr="00212A75">
        <w:rPr>
          <w:rFonts w:hint="eastAsia"/>
          <w:color w:val="000000" w:themeColor="text1"/>
        </w:rPr>
        <w:t>48.6%</w:t>
      </w:r>
      <w:r w:rsidRPr="00212A75">
        <w:rPr>
          <w:rFonts w:hint="eastAsia"/>
          <w:color w:val="000000" w:themeColor="text1"/>
        </w:rPr>
        <w:t>，分别比上月下降</w:t>
      </w:r>
      <w:r w:rsidRPr="00212A75">
        <w:rPr>
          <w:rFonts w:hint="eastAsia"/>
          <w:color w:val="000000" w:themeColor="text1"/>
        </w:rPr>
        <w:t>0.7</w:t>
      </w:r>
      <w:r w:rsidRPr="00212A75">
        <w:rPr>
          <w:rFonts w:hint="eastAsia"/>
          <w:color w:val="000000" w:themeColor="text1"/>
        </w:rPr>
        <w:t>和</w:t>
      </w:r>
      <w:r w:rsidRPr="00212A75">
        <w:rPr>
          <w:rFonts w:hint="eastAsia"/>
          <w:color w:val="000000" w:themeColor="text1"/>
        </w:rPr>
        <w:t>0.6</w:t>
      </w:r>
      <w:r w:rsidRPr="00212A75">
        <w:rPr>
          <w:rFonts w:hint="eastAsia"/>
          <w:color w:val="000000" w:themeColor="text1"/>
        </w:rPr>
        <w:t>个百分点。</w:t>
      </w:r>
      <w:r>
        <w:rPr>
          <w:rFonts w:hint="eastAsia"/>
          <w:color w:val="000000" w:themeColor="text1"/>
        </w:rPr>
        <w:t>（</w:t>
      </w:r>
      <w:r>
        <w:fldChar w:fldCharType="begin"/>
      </w:r>
      <w:r>
        <w:instrText xml:space="preserve">REF _Ref388011497 \h \* MERGEFORMAT </w:instrText>
      </w:r>
      <w:r>
        <w:fldChar w:fldCharType="separate"/>
      </w:r>
      <w:r>
        <w:rPr>
          <w:rFonts w:hint="eastAsia"/>
          <w:color w:val="000000" w:themeColor="text1"/>
        </w:rPr>
        <w:t>图</w:t>
      </w:r>
      <w:r>
        <w:rPr>
          <w:color w:val="000000" w:themeColor="text1"/>
        </w:rPr>
        <w:t>4</w:t>
      </w:r>
      <w:r>
        <w:fldChar w:fldCharType="end"/>
      </w:r>
      <w:r>
        <w:rPr>
          <w:color w:val="000000" w:themeColor="text1"/>
        </w:rPr>
        <w:t>）</w:t>
      </w:r>
    </w:p>
    <w:p w:rsidR="008D2F4E" w:rsidRDefault="008D2F4E" w:rsidP="008D2F4E">
      <w:pPr>
        <w:keepNext/>
        <w:spacing w:before="100" w:beforeAutospacing="1"/>
        <w:jc w:val="center"/>
        <w:rPr>
          <w:color w:val="000000" w:themeColor="text1"/>
        </w:rPr>
      </w:pPr>
      <w:r>
        <w:rPr>
          <w:noProof/>
          <w:color w:val="000000" w:themeColor="text1"/>
        </w:rPr>
        <w:drawing>
          <wp:inline distT="0" distB="0" distL="0" distR="0" wp14:anchorId="12753BC9" wp14:editId="368347DD">
            <wp:extent cx="3812400" cy="2196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2400" cy="2196000"/>
                    </a:xfrm>
                    <a:prstGeom prst="rect">
                      <a:avLst/>
                    </a:prstGeom>
                    <a:noFill/>
                    <a:ln>
                      <a:noFill/>
                    </a:ln>
                  </pic:spPr>
                </pic:pic>
              </a:graphicData>
            </a:graphic>
          </wp:inline>
        </w:drawing>
      </w:r>
    </w:p>
    <w:p w:rsidR="008D2F4E" w:rsidRDefault="008D2F4E" w:rsidP="008D2F4E">
      <w:pPr>
        <w:pStyle w:val="ac"/>
        <w:jc w:val="center"/>
        <w:rPr>
          <w:color w:val="000000" w:themeColor="text1"/>
        </w:rPr>
      </w:pPr>
      <w:bookmarkStart w:id="5" w:name="_Ref388011497"/>
      <w:r>
        <w:rPr>
          <w:rFonts w:hint="eastAsia"/>
          <w:color w:val="000000" w:themeColor="text1"/>
        </w:rPr>
        <w:t>图</w:t>
      </w:r>
      <w:r>
        <w:rPr>
          <w:color w:val="000000" w:themeColor="text1"/>
        </w:rPr>
        <w:fldChar w:fldCharType="begin"/>
      </w:r>
      <w:r>
        <w:rPr>
          <w:rFonts w:hint="eastAsia"/>
          <w:color w:val="000000" w:themeColor="text1"/>
        </w:rPr>
        <w:instrText xml:space="preserve">SEQ </w:instrText>
      </w:r>
      <w:r>
        <w:rPr>
          <w:rFonts w:hint="eastAsia"/>
          <w:color w:val="000000" w:themeColor="text1"/>
        </w:rPr>
        <w:instrText>图</w:instrText>
      </w:r>
      <w:r>
        <w:rPr>
          <w:rFonts w:hint="eastAsia"/>
          <w:color w:val="000000" w:themeColor="text1"/>
        </w:rPr>
        <w:instrText xml:space="preserve"> \* ARABIC</w:instrText>
      </w:r>
      <w:r>
        <w:rPr>
          <w:color w:val="000000" w:themeColor="text1"/>
        </w:rPr>
        <w:fldChar w:fldCharType="separate"/>
      </w:r>
      <w:r>
        <w:rPr>
          <w:noProof/>
          <w:color w:val="000000" w:themeColor="text1"/>
        </w:rPr>
        <w:t>4</w:t>
      </w:r>
      <w:r>
        <w:rPr>
          <w:color w:val="000000" w:themeColor="text1"/>
        </w:rPr>
        <w:fldChar w:fldCharType="end"/>
      </w:r>
      <w:bookmarkStart w:id="6" w:name="_Ref359402512"/>
      <w:bookmarkEnd w:id="5"/>
      <w:r>
        <w:rPr>
          <w:rFonts w:hint="eastAsia"/>
          <w:color w:val="000000" w:themeColor="text1"/>
        </w:rPr>
        <w:t xml:space="preserve">  2015-2018</w:t>
      </w:r>
      <w:r>
        <w:rPr>
          <w:rFonts w:hint="eastAsia"/>
          <w:color w:val="000000" w:themeColor="text1"/>
        </w:rPr>
        <w:t>年制造业采购经理人指数（</w:t>
      </w:r>
      <w:r>
        <w:rPr>
          <w:rFonts w:hint="eastAsia"/>
          <w:color w:val="000000" w:themeColor="text1"/>
        </w:rPr>
        <w:t>PMI</w:t>
      </w:r>
      <w:r>
        <w:rPr>
          <w:rFonts w:hint="eastAsia"/>
          <w:color w:val="000000" w:themeColor="text1"/>
        </w:rPr>
        <w:t>）</w:t>
      </w:r>
      <w:bookmarkEnd w:id="6"/>
    </w:p>
    <w:p w:rsidR="008D2F4E" w:rsidRDefault="008D2F4E" w:rsidP="008D2F4E">
      <w:pPr>
        <w:keepNext/>
        <w:keepLines/>
        <w:tabs>
          <w:tab w:val="left" w:pos="851"/>
        </w:tabs>
        <w:spacing w:before="100" w:beforeAutospacing="1" w:after="100" w:afterAutospacing="1"/>
        <w:ind w:left="420"/>
        <w:rPr>
          <w:rFonts w:ascii="黑体" w:eastAsia="黑体" w:hAnsi="黑体"/>
          <w:color w:val="000000" w:themeColor="text1"/>
        </w:rPr>
      </w:pPr>
      <w:r>
        <w:rPr>
          <w:rFonts w:ascii="黑体" w:eastAsia="黑体" w:hAnsi="黑体" w:hint="eastAsia"/>
          <w:color w:val="000000" w:themeColor="text1"/>
        </w:rPr>
        <w:t>二、国内贸易</w:t>
      </w:r>
    </w:p>
    <w:p w:rsidR="008D2F4E" w:rsidRDefault="008D2F4E" w:rsidP="008D2F4E">
      <w:pPr>
        <w:spacing w:before="100" w:beforeAutospacing="1" w:after="100" w:afterAutospacing="1"/>
        <w:ind w:firstLineChars="200" w:firstLine="420"/>
        <w:rPr>
          <w:color w:val="000000" w:themeColor="text1"/>
        </w:rPr>
      </w:pPr>
      <w:r>
        <w:rPr>
          <w:rFonts w:hint="eastAsia"/>
          <w:color w:val="000000" w:themeColor="text1"/>
        </w:rPr>
        <w:t>1-12</w:t>
      </w:r>
      <w:r w:rsidRPr="00DF2E57">
        <w:rPr>
          <w:rFonts w:hint="eastAsia"/>
          <w:color w:val="000000" w:themeColor="text1"/>
        </w:rPr>
        <w:t>月份，全市社会消费品零售总额</w:t>
      </w:r>
      <w:r>
        <w:rPr>
          <w:rFonts w:hint="eastAsia"/>
          <w:color w:val="000000" w:themeColor="text1"/>
        </w:rPr>
        <w:t>2366.88</w:t>
      </w:r>
      <w:r w:rsidRPr="00DF2E57">
        <w:rPr>
          <w:rFonts w:hint="eastAsia"/>
          <w:color w:val="000000" w:themeColor="text1"/>
        </w:rPr>
        <w:t>亿元，同比增长</w:t>
      </w:r>
      <w:r>
        <w:rPr>
          <w:rFonts w:hint="eastAsia"/>
          <w:color w:val="000000" w:themeColor="text1"/>
        </w:rPr>
        <w:t>10.2</w:t>
      </w:r>
      <w:r w:rsidRPr="00DF2E57">
        <w:rPr>
          <w:rFonts w:hint="eastAsia"/>
          <w:color w:val="000000" w:themeColor="text1"/>
        </w:rPr>
        <w:t>%</w:t>
      </w:r>
      <w:r w:rsidRPr="00DF2E57">
        <w:rPr>
          <w:rFonts w:hint="eastAsia"/>
          <w:color w:val="000000" w:themeColor="text1"/>
        </w:rPr>
        <w:t>，增速位居全省第三。其中，全市限额以上消费品零售总额</w:t>
      </w:r>
      <w:r>
        <w:rPr>
          <w:rFonts w:hint="eastAsia"/>
          <w:color w:val="000000" w:themeColor="text1"/>
        </w:rPr>
        <w:t>611.92</w:t>
      </w:r>
      <w:r w:rsidRPr="00DF2E57">
        <w:rPr>
          <w:rFonts w:hint="eastAsia"/>
          <w:color w:val="000000" w:themeColor="text1"/>
        </w:rPr>
        <w:t>亿元，同比增长</w:t>
      </w:r>
      <w:r>
        <w:rPr>
          <w:rFonts w:hint="eastAsia"/>
          <w:color w:val="000000" w:themeColor="text1"/>
        </w:rPr>
        <w:t>11.5</w:t>
      </w:r>
      <w:r w:rsidRPr="00DF2E57">
        <w:rPr>
          <w:rFonts w:hint="eastAsia"/>
          <w:color w:val="000000" w:themeColor="text1"/>
        </w:rPr>
        <w:t>%</w:t>
      </w:r>
      <w:r>
        <w:rPr>
          <w:rFonts w:hint="eastAsia"/>
          <w:color w:val="000000" w:themeColor="text1"/>
        </w:rPr>
        <w:t>，增速位居全省第三</w:t>
      </w:r>
      <w:r w:rsidRPr="00DF2E57">
        <w:rPr>
          <w:rFonts w:hint="eastAsia"/>
          <w:color w:val="000000" w:themeColor="text1"/>
        </w:rPr>
        <w:t>。</w:t>
      </w:r>
      <w:r>
        <w:rPr>
          <w:rFonts w:hint="eastAsia"/>
          <w:color w:val="000000" w:themeColor="text1"/>
        </w:rPr>
        <w:t>1-12</w:t>
      </w:r>
      <w:r w:rsidRPr="00DF2E57">
        <w:rPr>
          <w:rFonts w:hint="eastAsia"/>
          <w:color w:val="000000" w:themeColor="text1"/>
        </w:rPr>
        <w:t>月份，台州市批发业销售额</w:t>
      </w:r>
      <w:r>
        <w:rPr>
          <w:rFonts w:hint="eastAsia"/>
          <w:color w:val="000000" w:themeColor="text1"/>
        </w:rPr>
        <w:t>4282.38</w:t>
      </w:r>
      <w:r w:rsidRPr="00DF2E57">
        <w:rPr>
          <w:rFonts w:hint="eastAsia"/>
          <w:color w:val="000000" w:themeColor="text1"/>
        </w:rPr>
        <w:t>亿元，同比增长</w:t>
      </w:r>
      <w:r>
        <w:rPr>
          <w:rFonts w:hint="eastAsia"/>
          <w:color w:val="000000" w:themeColor="text1"/>
        </w:rPr>
        <w:t>12.3</w:t>
      </w:r>
      <w:r w:rsidRPr="00DF2E57">
        <w:rPr>
          <w:rFonts w:hint="eastAsia"/>
          <w:color w:val="000000" w:themeColor="text1"/>
        </w:rPr>
        <w:t>%</w:t>
      </w:r>
      <w:r w:rsidRPr="00DF2E57">
        <w:rPr>
          <w:rFonts w:hint="eastAsia"/>
          <w:color w:val="000000" w:themeColor="text1"/>
        </w:rPr>
        <w:t>，增速位居全省第</w:t>
      </w:r>
      <w:r>
        <w:rPr>
          <w:rFonts w:hint="eastAsia"/>
          <w:color w:val="000000" w:themeColor="text1"/>
        </w:rPr>
        <w:t>十</w:t>
      </w:r>
      <w:r w:rsidRPr="00DF2E57">
        <w:rPr>
          <w:rFonts w:hint="eastAsia"/>
          <w:color w:val="000000" w:themeColor="text1"/>
        </w:rPr>
        <w:t>；零售业销售额</w:t>
      </w:r>
      <w:r>
        <w:rPr>
          <w:rFonts w:hint="eastAsia"/>
          <w:color w:val="000000" w:themeColor="text1"/>
        </w:rPr>
        <w:t>3337.04</w:t>
      </w:r>
      <w:r w:rsidRPr="00DF2E57">
        <w:rPr>
          <w:rFonts w:hint="eastAsia"/>
          <w:color w:val="000000" w:themeColor="text1"/>
        </w:rPr>
        <w:t>亿元，同比增长</w:t>
      </w:r>
      <w:r>
        <w:rPr>
          <w:rFonts w:hint="eastAsia"/>
          <w:color w:val="000000" w:themeColor="text1"/>
        </w:rPr>
        <w:t>14.0</w:t>
      </w:r>
      <w:r w:rsidRPr="00DF2E57">
        <w:rPr>
          <w:rFonts w:hint="eastAsia"/>
          <w:color w:val="000000" w:themeColor="text1"/>
        </w:rPr>
        <w:t>%</w:t>
      </w:r>
      <w:r w:rsidRPr="00DF2E57">
        <w:rPr>
          <w:rFonts w:hint="eastAsia"/>
          <w:color w:val="000000" w:themeColor="text1"/>
        </w:rPr>
        <w:t>，增速位居全省第三。</w:t>
      </w:r>
      <w:r>
        <w:rPr>
          <w:rFonts w:hint="eastAsia"/>
          <w:color w:val="000000" w:themeColor="text1"/>
        </w:rPr>
        <w:t>（</w:t>
      </w:r>
      <w:r>
        <w:fldChar w:fldCharType="begin"/>
      </w:r>
      <w:r>
        <w:instrText xml:space="preserve">REF _Ref390781299 \h \* MERGEFORMAT </w:instrText>
      </w:r>
      <w:r>
        <w:fldChar w:fldCharType="separate"/>
      </w:r>
      <w:r>
        <w:rPr>
          <w:rFonts w:hint="eastAsia"/>
          <w:color w:val="000000" w:themeColor="text1"/>
        </w:rPr>
        <w:t>图</w:t>
      </w:r>
      <w:r>
        <w:rPr>
          <w:color w:val="000000" w:themeColor="text1"/>
        </w:rPr>
        <w:t>5</w:t>
      </w:r>
      <w:r>
        <w:fldChar w:fldCharType="end"/>
      </w:r>
      <w:r>
        <w:rPr>
          <w:color w:val="000000" w:themeColor="text1"/>
        </w:rPr>
        <w:t>）</w:t>
      </w:r>
      <w:r>
        <w:rPr>
          <w:rFonts w:hint="eastAsia"/>
          <w:color w:val="000000" w:themeColor="text1"/>
        </w:rPr>
        <w:t>1-12</w:t>
      </w:r>
      <w:r>
        <w:rPr>
          <w:rFonts w:hint="eastAsia"/>
          <w:color w:val="000000" w:themeColor="text1"/>
        </w:rPr>
        <w:t>月份消费市场运行主要呈现以下特点：</w:t>
      </w:r>
    </w:p>
    <w:p w:rsidR="008D2F4E" w:rsidRPr="00C954FF" w:rsidRDefault="008D2F4E" w:rsidP="008D2F4E">
      <w:pPr>
        <w:spacing w:before="100" w:beforeAutospacing="1" w:after="100" w:afterAutospacing="1"/>
        <w:ind w:firstLineChars="200" w:firstLine="420"/>
        <w:rPr>
          <w:color w:val="000000" w:themeColor="text1"/>
        </w:rPr>
      </w:pPr>
      <w:r w:rsidRPr="00C954FF">
        <w:rPr>
          <w:rFonts w:ascii="楷体_GB2312" w:eastAsia="楷体_GB2312" w:hint="eastAsia"/>
          <w:color w:val="000000" w:themeColor="text1"/>
        </w:rPr>
        <w:t>商贸业投资迅速发展。</w:t>
      </w:r>
      <w:r w:rsidRPr="00C954FF">
        <w:rPr>
          <w:rFonts w:hint="eastAsia"/>
          <w:color w:val="000000" w:themeColor="text1"/>
        </w:rPr>
        <w:t>今年全市共有</w:t>
      </w:r>
      <w:r w:rsidRPr="00C954FF">
        <w:rPr>
          <w:rFonts w:hint="eastAsia"/>
          <w:color w:val="000000" w:themeColor="text1"/>
        </w:rPr>
        <w:t>47</w:t>
      </w:r>
      <w:r w:rsidRPr="00C954FF">
        <w:rPr>
          <w:rFonts w:hint="eastAsia"/>
          <w:color w:val="000000" w:themeColor="text1"/>
        </w:rPr>
        <w:t>个项目列入商贸流通设施重点建设项目，</w:t>
      </w:r>
      <w:r>
        <w:rPr>
          <w:rFonts w:hint="eastAsia"/>
          <w:color w:val="000000" w:themeColor="text1"/>
        </w:rPr>
        <w:t>2018</w:t>
      </w:r>
      <w:r>
        <w:rPr>
          <w:rFonts w:hint="eastAsia"/>
          <w:color w:val="000000" w:themeColor="text1"/>
        </w:rPr>
        <w:t>年</w:t>
      </w:r>
      <w:r w:rsidRPr="003573E4">
        <w:rPr>
          <w:rFonts w:hint="eastAsia"/>
          <w:color w:val="000000" w:themeColor="text1"/>
        </w:rPr>
        <w:t>完成重点商贸设施投资</w:t>
      </w:r>
      <w:r w:rsidRPr="003573E4">
        <w:rPr>
          <w:rFonts w:hint="eastAsia"/>
          <w:color w:val="000000" w:themeColor="text1"/>
        </w:rPr>
        <w:t>66.2</w:t>
      </w:r>
      <w:r w:rsidRPr="003573E4">
        <w:rPr>
          <w:rFonts w:hint="eastAsia"/>
          <w:color w:val="000000" w:themeColor="text1"/>
        </w:rPr>
        <w:t>亿元，完成年度计划</w:t>
      </w:r>
      <w:r w:rsidRPr="003573E4">
        <w:rPr>
          <w:rFonts w:hint="eastAsia"/>
          <w:color w:val="000000" w:themeColor="text1"/>
        </w:rPr>
        <w:t>122.2%</w:t>
      </w:r>
      <w:r w:rsidRPr="00C954FF">
        <w:rPr>
          <w:rFonts w:hint="eastAsia"/>
          <w:color w:val="000000" w:themeColor="text1"/>
        </w:rPr>
        <w:t>。</w:t>
      </w:r>
    </w:p>
    <w:p w:rsidR="008D2F4E" w:rsidRDefault="008D2F4E" w:rsidP="008D2F4E">
      <w:pPr>
        <w:keepNext/>
        <w:spacing w:before="100" w:beforeAutospacing="1"/>
        <w:jc w:val="center"/>
        <w:rPr>
          <w:color w:val="000000" w:themeColor="text1"/>
        </w:rPr>
      </w:pPr>
      <w:r>
        <w:rPr>
          <w:noProof/>
          <w:color w:val="000000" w:themeColor="text1"/>
        </w:rPr>
        <w:lastRenderedPageBreak/>
        <w:drawing>
          <wp:inline distT="0" distB="0" distL="0" distR="0" wp14:anchorId="6568CBD0" wp14:editId="005FE54D">
            <wp:extent cx="3661200" cy="2196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61200" cy="2196000"/>
                    </a:xfrm>
                    <a:prstGeom prst="rect">
                      <a:avLst/>
                    </a:prstGeom>
                    <a:noFill/>
                    <a:ln>
                      <a:noFill/>
                    </a:ln>
                  </pic:spPr>
                </pic:pic>
              </a:graphicData>
            </a:graphic>
          </wp:inline>
        </w:drawing>
      </w:r>
    </w:p>
    <w:p w:rsidR="008D2F4E" w:rsidRDefault="008D2F4E" w:rsidP="008D2F4E">
      <w:pPr>
        <w:pStyle w:val="ac"/>
        <w:jc w:val="center"/>
        <w:rPr>
          <w:color w:val="000000" w:themeColor="text1"/>
        </w:rPr>
      </w:pPr>
      <w:bookmarkStart w:id="7" w:name="_Ref390781299"/>
      <w:r>
        <w:rPr>
          <w:rFonts w:hint="eastAsia"/>
          <w:color w:val="000000" w:themeColor="text1"/>
        </w:rPr>
        <w:t>图</w:t>
      </w:r>
      <w:r>
        <w:rPr>
          <w:color w:val="000000" w:themeColor="text1"/>
        </w:rPr>
        <w:fldChar w:fldCharType="begin"/>
      </w:r>
      <w:r>
        <w:rPr>
          <w:rFonts w:hint="eastAsia"/>
          <w:color w:val="000000" w:themeColor="text1"/>
        </w:rPr>
        <w:instrText xml:space="preserve">SEQ </w:instrText>
      </w:r>
      <w:r>
        <w:rPr>
          <w:rFonts w:hint="eastAsia"/>
          <w:color w:val="000000" w:themeColor="text1"/>
        </w:rPr>
        <w:instrText>图</w:instrText>
      </w:r>
      <w:r>
        <w:rPr>
          <w:rFonts w:hint="eastAsia"/>
          <w:color w:val="000000" w:themeColor="text1"/>
        </w:rPr>
        <w:instrText xml:space="preserve"> \* ARABIC</w:instrText>
      </w:r>
      <w:r>
        <w:rPr>
          <w:color w:val="000000" w:themeColor="text1"/>
        </w:rPr>
        <w:fldChar w:fldCharType="separate"/>
      </w:r>
      <w:r>
        <w:rPr>
          <w:noProof/>
          <w:color w:val="000000" w:themeColor="text1"/>
        </w:rPr>
        <w:t>5</w:t>
      </w:r>
      <w:r>
        <w:rPr>
          <w:color w:val="000000" w:themeColor="text1"/>
        </w:rPr>
        <w:fldChar w:fldCharType="end"/>
      </w:r>
      <w:bookmarkEnd w:id="7"/>
      <w:r>
        <w:rPr>
          <w:rFonts w:hint="eastAsia"/>
          <w:color w:val="000000" w:themeColor="text1"/>
        </w:rPr>
        <w:t xml:space="preserve">   2018</w:t>
      </w:r>
      <w:r>
        <w:rPr>
          <w:rFonts w:hint="eastAsia"/>
          <w:color w:val="000000" w:themeColor="text1"/>
        </w:rPr>
        <w:t>年</w:t>
      </w:r>
      <w:r>
        <w:rPr>
          <w:rFonts w:hint="eastAsia"/>
          <w:color w:val="000000" w:themeColor="text1"/>
        </w:rPr>
        <w:t>1-12</w:t>
      </w:r>
      <w:r>
        <w:rPr>
          <w:rFonts w:hint="eastAsia"/>
          <w:color w:val="000000" w:themeColor="text1"/>
        </w:rPr>
        <w:t>月</w:t>
      </w:r>
      <w:r>
        <w:rPr>
          <w:color w:val="000000" w:themeColor="text1"/>
        </w:rPr>
        <w:t>份</w:t>
      </w:r>
      <w:r>
        <w:rPr>
          <w:rFonts w:hint="eastAsia"/>
          <w:color w:val="000000" w:themeColor="text1"/>
        </w:rPr>
        <w:t>浙江各市社会消费品零售总额（亿元）</w:t>
      </w:r>
    </w:p>
    <w:p w:rsidR="008D2F4E" w:rsidRDefault="008D2F4E" w:rsidP="008D2F4E">
      <w:pPr>
        <w:keepNext/>
        <w:spacing w:before="100" w:beforeAutospacing="1"/>
        <w:jc w:val="center"/>
        <w:rPr>
          <w:color w:val="000000" w:themeColor="text1"/>
        </w:rPr>
      </w:pPr>
      <w:bookmarkStart w:id="8" w:name="_Ref388013126"/>
      <w:r>
        <w:rPr>
          <w:noProof/>
          <w:color w:val="000000" w:themeColor="text1"/>
        </w:rPr>
        <w:drawing>
          <wp:inline distT="0" distB="0" distL="0" distR="0" wp14:anchorId="79EC5C50" wp14:editId="7B9E62BF">
            <wp:extent cx="3574800" cy="21960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74800" cy="2196000"/>
                    </a:xfrm>
                    <a:prstGeom prst="rect">
                      <a:avLst/>
                    </a:prstGeom>
                    <a:noFill/>
                    <a:ln>
                      <a:noFill/>
                    </a:ln>
                  </pic:spPr>
                </pic:pic>
              </a:graphicData>
            </a:graphic>
          </wp:inline>
        </w:drawing>
      </w:r>
    </w:p>
    <w:p w:rsidR="008D2F4E" w:rsidRDefault="008D2F4E" w:rsidP="008D2F4E">
      <w:pPr>
        <w:pStyle w:val="ac"/>
        <w:jc w:val="center"/>
        <w:rPr>
          <w:color w:val="000000" w:themeColor="text1"/>
        </w:rPr>
      </w:pPr>
      <w:r>
        <w:rPr>
          <w:rFonts w:hint="eastAsia"/>
          <w:color w:val="000000" w:themeColor="text1"/>
        </w:rPr>
        <w:t>图</w:t>
      </w:r>
      <w:r>
        <w:rPr>
          <w:color w:val="000000" w:themeColor="text1"/>
        </w:rPr>
        <w:fldChar w:fldCharType="begin"/>
      </w:r>
      <w:r>
        <w:rPr>
          <w:rFonts w:hint="eastAsia"/>
          <w:color w:val="000000" w:themeColor="text1"/>
        </w:rPr>
        <w:instrText xml:space="preserve">SEQ </w:instrText>
      </w:r>
      <w:r>
        <w:rPr>
          <w:rFonts w:hint="eastAsia"/>
          <w:color w:val="000000" w:themeColor="text1"/>
        </w:rPr>
        <w:instrText>图</w:instrText>
      </w:r>
      <w:r>
        <w:rPr>
          <w:rFonts w:hint="eastAsia"/>
          <w:color w:val="000000" w:themeColor="text1"/>
        </w:rPr>
        <w:instrText xml:space="preserve"> \* ARABIC</w:instrText>
      </w:r>
      <w:r>
        <w:rPr>
          <w:color w:val="000000" w:themeColor="text1"/>
        </w:rPr>
        <w:fldChar w:fldCharType="separate"/>
      </w:r>
      <w:r>
        <w:rPr>
          <w:noProof/>
          <w:color w:val="000000" w:themeColor="text1"/>
        </w:rPr>
        <w:t>6</w:t>
      </w:r>
      <w:r>
        <w:rPr>
          <w:color w:val="000000" w:themeColor="text1"/>
        </w:rPr>
        <w:fldChar w:fldCharType="end"/>
      </w:r>
      <w:bookmarkEnd w:id="8"/>
      <w:r>
        <w:rPr>
          <w:rFonts w:hint="eastAsia"/>
          <w:color w:val="000000" w:themeColor="text1"/>
        </w:rPr>
        <w:t xml:space="preserve">   2018</w:t>
      </w:r>
      <w:r>
        <w:rPr>
          <w:rFonts w:hint="eastAsia"/>
          <w:color w:val="000000" w:themeColor="text1"/>
        </w:rPr>
        <w:t>年</w:t>
      </w:r>
      <w:r>
        <w:rPr>
          <w:rFonts w:hint="eastAsia"/>
          <w:color w:val="000000" w:themeColor="text1"/>
        </w:rPr>
        <w:t>1-12</w:t>
      </w:r>
      <w:r>
        <w:rPr>
          <w:color w:val="000000" w:themeColor="text1"/>
        </w:rPr>
        <w:t>月份</w:t>
      </w:r>
      <w:r>
        <w:rPr>
          <w:rFonts w:hint="eastAsia"/>
          <w:color w:val="000000" w:themeColor="text1"/>
        </w:rPr>
        <w:t>各县市区社会消费品零售总额（亿元）</w:t>
      </w:r>
    </w:p>
    <w:p w:rsidR="008D2F4E" w:rsidRDefault="008D2F4E" w:rsidP="008D2F4E">
      <w:pPr>
        <w:spacing w:before="100" w:beforeAutospacing="1" w:after="100" w:afterAutospacing="1"/>
        <w:ind w:firstLineChars="200" w:firstLine="420"/>
        <w:rPr>
          <w:color w:val="000000" w:themeColor="text1"/>
        </w:rPr>
      </w:pPr>
      <w:r>
        <w:rPr>
          <w:rFonts w:ascii="楷体_GB2312" w:eastAsia="楷体_GB2312" w:hint="eastAsia"/>
          <w:color w:val="000000" w:themeColor="text1"/>
        </w:rPr>
        <w:t>区域增长不平衡</w:t>
      </w:r>
      <w:r>
        <w:rPr>
          <w:rFonts w:hint="eastAsia"/>
          <w:color w:val="000000" w:themeColor="text1"/>
        </w:rPr>
        <w:t>。</w:t>
      </w:r>
      <w:r>
        <w:rPr>
          <w:rFonts w:hint="eastAsia"/>
          <w:color w:val="000000" w:themeColor="text1"/>
        </w:rPr>
        <w:t>1-12</w:t>
      </w:r>
      <w:r>
        <w:rPr>
          <w:rFonts w:hint="eastAsia"/>
          <w:color w:val="000000" w:themeColor="text1"/>
        </w:rPr>
        <w:t>月份，温岭</w:t>
      </w:r>
      <w:proofErr w:type="gramStart"/>
      <w:r>
        <w:rPr>
          <w:rFonts w:hint="eastAsia"/>
          <w:color w:val="000000" w:themeColor="text1"/>
        </w:rPr>
        <w:t>市社零额</w:t>
      </w:r>
      <w:proofErr w:type="gramEnd"/>
      <w:r>
        <w:rPr>
          <w:rFonts w:hint="eastAsia"/>
          <w:color w:val="000000" w:themeColor="text1"/>
        </w:rPr>
        <w:t>633.34</w:t>
      </w:r>
      <w:r>
        <w:rPr>
          <w:rFonts w:hint="eastAsia"/>
          <w:color w:val="000000" w:themeColor="text1"/>
        </w:rPr>
        <w:t>亿元，总量列全市第一，同比增长</w:t>
      </w:r>
      <w:r>
        <w:rPr>
          <w:color w:val="000000" w:themeColor="text1"/>
        </w:rPr>
        <w:t>11.</w:t>
      </w:r>
      <w:r>
        <w:rPr>
          <w:rFonts w:hint="eastAsia"/>
          <w:color w:val="000000" w:themeColor="text1"/>
        </w:rPr>
        <w:t>0%</w:t>
      </w:r>
      <w:r>
        <w:rPr>
          <w:rFonts w:hint="eastAsia"/>
          <w:color w:val="000000" w:themeColor="text1"/>
        </w:rPr>
        <w:t>，增速列全市第一；路桥</w:t>
      </w:r>
      <w:proofErr w:type="gramStart"/>
      <w:r>
        <w:rPr>
          <w:rFonts w:hint="eastAsia"/>
          <w:color w:val="000000" w:themeColor="text1"/>
        </w:rPr>
        <w:t>区</w:t>
      </w:r>
      <w:r>
        <w:rPr>
          <w:color w:val="000000" w:themeColor="text1"/>
        </w:rPr>
        <w:t>社零额</w:t>
      </w:r>
      <w:proofErr w:type="gramEnd"/>
      <w:r>
        <w:rPr>
          <w:rFonts w:hint="eastAsia"/>
          <w:color w:val="000000" w:themeColor="text1"/>
        </w:rPr>
        <w:t>392.23</w:t>
      </w:r>
      <w:r>
        <w:rPr>
          <w:rFonts w:hint="eastAsia"/>
          <w:color w:val="000000" w:themeColor="text1"/>
        </w:rPr>
        <w:t>亿元</w:t>
      </w:r>
      <w:r>
        <w:rPr>
          <w:color w:val="000000" w:themeColor="text1"/>
        </w:rPr>
        <w:t>，总量全市第</w:t>
      </w:r>
      <w:r>
        <w:rPr>
          <w:rFonts w:hint="eastAsia"/>
          <w:color w:val="000000" w:themeColor="text1"/>
        </w:rPr>
        <w:t>二</w:t>
      </w:r>
      <w:r>
        <w:rPr>
          <w:color w:val="000000" w:themeColor="text1"/>
        </w:rPr>
        <w:t>，增</w:t>
      </w:r>
      <w:r>
        <w:rPr>
          <w:rFonts w:hint="eastAsia"/>
          <w:color w:val="000000" w:themeColor="text1"/>
        </w:rPr>
        <w:t>长</w:t>
      </w:r>
      <w:r>
        <w:rPr>
          <w:rFonts w:hint="eastAsia"/>
          <w:color w:val="000000" w:themeColor="text1"/>
        </w:rPr>
        <w:t>8.6</w:t>
      </w:r>
      <w:r>
        <w:rPr>
          <w:color w:val="000000" w:themeColor="text1"/>
        </w:rPr>
        <w:t>%</w:t>
      </w:r>
      <w:r>
        <w:rPr>
          <w:rFonts w:hint="eastAsia"/>
          <w:color w:val="000000" w:themeColor="text1"/>
        </w:rPr>
        <w:t>，</w:t>
      </w:r>
      <w:r>
        <w:rPr>
          <w:color w:val="000000" w:themeColor="text1"/>
        </w:rPr>
        <w:t>列全市第</w:t>
      </w:r>
      <w:r>
        <w:rPr>
          <w:rFonts w:hint="eastAsia"/>
          <w:color w:val="000000" w:themeColor="text1"/>
        </w:rPr>
        <w:t>八</w:t>
      </w:r>
      <w:r>
        <w:rPr>
          <w:color w:val="000000" w:themeColor="text1"/>
        </w:rPr>
        <w:t>；</w:t>
      </w:r>
      <w:r>
        <w:rPr>
          <w:rFonts w:hint="eastAsia"/>
          <w:color w:val="000000" w:themeColor="text1"/>
        </w:rPr>
        <w:t>椒江</w:t>
      </w:r>
      <w:proofErr w:type="gramStart"/>
      <w:r>
        <w:rPr>
          <w:rFonts w:hint="eastAsia"/>
          <w:color w:val="000000" w:themeColor="text1"/>
        </w:rPr>
        <w:t>区</w:t>
      </w:r>
      <w:r>
        <w:rPr>
          <w:color w:val="000000" w:themeColor="text1"/>
        </w:rPr>
        <w:t>社零额</w:t>
      </w:r>
      <w:proofErr w:type="gramEnd"/>
      <w:r>
        <w:rPr>
          <w:rFonts w:hint="eastAsia"/>
          <w:color w:val="000000" w:themeColor="text1"/>
        </w:rPr>
        <w:t>289.40</w:t>
      </w:r>
      <w:r>
        <w:rPr>
          <w:rFonts w:hint="eastAsia"/>
          <w:color w:val="000000" w:themeColor="text1"/>
        </w:rPr>
        <w:t>亿元</w:t>
      </w:r>
      <w:r>
        <w:rPr>
          <w:color w:val="000000" w:themeColor="text1"/>
        </w:rPr>
        <w:t>，总量全市第三，</w:t>
      </w:r>
      <w:r>
        <w:rPr>
          <w:rFonts w:hint="eastAsia"/>
          <w:color w:val="000000" w:themeColor="text1"/>
        </w:rPr>
        <w:t>增长</w:t>
      </w:r>
      <w:r>
        <w:rPr>
          <w:rFonts w:hint="eastAsia"/>
          <w:color w:val="000000" w:themeColor="text1"/>
        </w:rPr>
        <w:t>9.7</w:t>
      </w:r>
      <w:r>
        <w:rPr>
          <w:color w:val="000000" w:themeColor="text1"/>
        </w:rPr>
        <w:t>%</w:t>
      </w:r>
      <w:r>
        <w:rPr>
          <w:color w:val="000000" w:themeColor="text1"/>
        </w:rPr>
        <w:t>，列全市第</w:t>
      </w:r>
      <w:r>
        <w:rPr>
          <w:rFonts w:hint="eastAsia"/>
          <w:color w:val="000000" w:themeColor="text1"/>
        </w:rPr>
        <w:t>七</w:t>
      </w:r>
      <w:r>
        <w:rPr>
          <w:color w:val="000000" w:themeColor="text1"/>
        </w:rPr>
        <w:t>；</w:t>
      </w:r>
      <w:proofErr w:type="gramStart"/>
      <w:r>
        <w:rPr>
          <w:rFonts w:hint="eastAsia"/>
          <w:color w:val="000000" w:themeColor="text1"/>
        </w:rPr>
        <w:t>临海市</w:t>
      </w:r>
      <w:r>
        <w:rPr>
          <w:color w:val="000000" w:themeColor="text1"/>
        </w:rPr>
        <w:t>社零额</w:t>
      </w:r>
      <w:proofErr w:type="gramEnd"/>
      <w:r>
        <w:rPr>
          <w:rFonts w:hint="eastAsia"/>
          <w:color w:val="000000" w:themeColor="text1"/>
        </w:rPr>
        <w:t>265.79</w:t>
      </w:r>
      <w:r>
        <w:rPr>
          <w:rFonts w:hint="eastAsia"/>
          <w:color w:val="000000" w:themeColor="text1"/>
        </w:rPr>
        <w:t>亿元</w:t>
      </w:r>
      <w:r>
        <w:rPr>
          <w:color w:val="000000" w:themeColor="text1"/>
        </w:rPr>
        <w:t>，总量全市第</w:t>
      </w:r>
      <w:r>
        <w:rPr>
          <w:rFonts w:hint="eastAsia"/>
          <w:color w:val="000000" w:themeColor="text1"/>
        </w:rPr>
        <w:t>四</w:t>
      </w:r>
      <w:r>
        <w:rPr>
          <w:color w:val="000000" w:themeColor="text1"/>
        </w:rPr>
        <w:t>，增</w:t>
      </w:r>
      <w:r>
        <w:rPr>
          <w:rFonts w:hint="eastAsia"/>
          <w:color w:val="000000" w:themeColor="text1"/>
        </w:rPr>
        <w:t>长</w:t>
      </w:r>
      <w:r>
        <w:rPr>
          <w:rFonts w:hint="eastAsia"/>
          <w:color w:val="000000" w:themeColor="text1"/>
        </w:rPr>
        <w:t>10.9</w:t>
      </w:r>
      <w:r>
        <w:rPr>
          <w:color w:val="000000" w:themeColor="text1"/>
        </w:rPr>
        <w:t>%</w:t>
      </w:r>
      <w:r>
        <w:rPr>
          <w:color w:val="000000" w:themeColor="text1"/>
        </w:rPr>
        <w:t>，列全市第</w:t>
      </w:r>
      <w:r>
        <w:rPr>
          <w:rFonts w:hint="eastAsia"/>
          <w:color w:val="000000" w:themeColor="text1"/>
        </w:rPr>
        <w:t>二</w:t>
      </w:r>
      <w:r>
        <w:rPr>
          <w:color w:val="000000" w:themeColor="text1"/>
        </w:rPr>
        <w:t>。</w:t>
      </w:r>
      <w:r>
        <w:rPr>
          <w:rFonts w:hint="eastAsia"/>
          <w:color w:val="000000" w:themeColor="text1"/>
        </w:rPr>
        <w:t>总体</w:t>
      </w:r>
      <w:r>
        <w:rPr>
          <w:color w:val="000000" w:themeColor="text1"/>
        </w:rPr>
        <w:t>来看，</w:t>
      </w:r>
      <w:r>
        <w:rPr>
          <w:rFonts w:hint="eastAsia"/>
          <w:color w:val="000000" w:themeColor="text1"/>
        </w:rPr>
        <w:t>有</w:t>
      </w:r>
      <w:r>
        <w:rPr>
          <w:rFonts w:hint="eastAsia"/>
          <w:color w:val="000000" w:themeColor="text1"/>
        </w:rPr>
        <w:t>6</w:t>
      </w:r>
      <w:r>
        <w:rPr>
          <w:rFonts w:hint="eastAsia"/>
          <w:color w:val="000000" w:themeColor="text1"/>
        </w:rPr>
        <w:t>个县市区增长</w:t>
      </w:r>
      <w:r>
        <w:rPr>
          <w:color w:val="000000" w:themeColor="text1"/>
        </w:rPr>
        <w:t>达到</w:t>
      </w:r>
      <w:r>
        <w:rPr>
          <w:rFonts w:hint="eastAsia"/>
          <w:color w:val="000000" w:themeColor="text1"/>
        </w:rPr>
        <w:t>全市</w:t>
      </w:r>
      <w:r>
        <w:rPr>
          <w:color w:val="000000" w:themeColor="text1"/>
        </w:rPr>
        <w:t>平均</w:t>
      </w:r>
      <w:r>
        <w:rPr>
          <w:rFonts w:hint="eastAsia"/>
          <w:color w:val="000000" w:themeColor="text1"/>
        </w:rPr>
        <w:t>（温岭增</w:t>
      </w:r>
      <w:r>
        <w:rPr>
          <w:color w:val="000000" w:themeColor="text1"/>
        </w:rPr>
        <w:t>长</w:t>
      </w:r>
      <w:r>
        <w:rPr>
          <w:rFonts w:hint="eastAsia"/>
          <w:color w:val="000000" w:themeColor="text1"/>
        </w:rPr>
        <w:t>11.0</w:t>
      </w:r>
      <w:r>
        <w:rPr>
          <w:color w:val="000000" w:themeColor="text1"/>
        </w:rPr>
        <w:t>%</w:t>
      </w:r>
      <w:r>
        <w:rPr>
          <w:color w:val="000000" w:themeColor="text1"/>
        </w:rPr>
        <w:t>，</w:t>
      </w:r>
      <w:r>
        <w:rPr>
          <w:rFonts w:hint="eastAsia"/>
          <w:color w:val="000000" w:themeColor="text1"/>
        </w:rPr>
        <w:t>高于</w:t>
      </w:r>
      <w:r>
        <w:rPr>
          <w:color w:val="000000" w:themeColor="text1"/>
        </w:rPr>
        <w:t>全市平均</w:t>
      </w:r>
      <w:r>
        <w:rPr>
          <w:rFonts w:hint="eastAsia"/>
          <w:color w:val="000000" w:themeColor="text1"/>
        </w:rPr>
        <w:t>0.8</w:t>
      </w:r>
      <w:r>
        <w:rPr>
          <w:rFonts w:hint="eastAsia"/>
          <w:color w:val="000000" w:themeColor="text1"/>
        </w:rPr>
        <w:t>个</w:t>
      </w:r>
      <w:r>
        <w:rPr>
          <w:color w:val="000000" w:themeColor="text1"/>
        </w:rPr>
        <w:t>百分点，增速</w:t>
      </w:r>
      <w:r>
        <w:rPr>
          <w:rFonts w:hint="eastAsia"/>
          <w:color w:val="000000" w:themeColor="text1"/>
        </w:rPr>
        <w:t>列</w:t>
      </w:r>
      <w:r>
        <w:rPr>
          <w:color w:val="000000" w:themeColor="text1"/>
        </w:rPr>
        <w:t>全市第一；</w:t>
      </w:r>
      <w:r>
        <w:rPr>
          <w:rFonts w:hint="eastAsia"/>
          <w:color w:val="000000" w:themeColor="text1"/>
        </w:rPr>
        <w:t>临海增长</w:t>
      </w:r>
      <w:r>
        <w:rPr>
          <w:rFonts w:hint="eastAsia"/>
          <w:color w:val="000000" w:themeColor="text1"/>
        </w:rPr>
        <w:t>10.9</w:t>
      </w:r>
      <w:r>
        <w:rPr>
          <w:color w:val="000000" w:themeColor="text1"/>
        </w:rPr>
        <w:t>%</w:t>
      </w:r>
      <w:r>
        <w:rPr>
          <w:color w:val="000000" w:themeColor="text1"/>
        </w:rPr>
        <w:t>，</w:t>
      </w:r>
      <w:r>
        <w:rPr>
          <w:rFonts w:hint="eastAsia"/>
          <w:color w:val="000000" w:themeColor="text1"/>
        </w:rPr>
        <w:t>增速</w:t>
      </w:r>
      <w:r>
        <w:rPr>
          <w:color w:val="000000" w:themeColor="text1"/>
        </w:rPr>
        <w:t>列全市</w:t>
      </w:r>
      <w:r>
        <w:rPr>
          <w:rFonts w:hint="eastAsia"/>
          <w:color w:val="000000" w:themeColor="text1"/>
        </w:rPr>
        <w:t>第二；黄岩增长</w:t>
      </w:r>
      <w:r>
        <w:rPr>
          <w:rFonts w:hint="eastAsia"/>
          <w:color w:val="000000" w:themeColor="text1"/>
        </w:rPr>
        <w:t>10.8%</w:t>
      </w:r>
      <w:r>
        <w:rPr>
          <w:rFonts w:hint="eastAsia"/>
          <w:color w:val="000000" w:themeColor="text1"/>
        </w:rPr>
        <w:t>，列第三；第四天台增长</w:t>
      </w:r>
      <w:r>
        <w:rPr>
          <w:rFonts w:hint="eastAsia"/>
          <w:color w:val="000000" w:themeColor="text1"/>
        </w:rPr>
        <w:t>10.6%</w:t>
      </w:r>
      <w:r>
        <w:rPr>
          <w:rFonts w:hint="eastAsia"/>
          <w:color w:val="000000" w:themeColor="text1"/>
        </w:rPr>
        <w:t>；第五玉环增长</w:t>
      </w:r>
      <w:r>
        <w:rPr>
          <w:rFonts w:hint="eastAsia"/>
          <w:color w:val="000000" w:themeColor="text1"/>
        </w:rPr>
        <w:t>10.5%</w:t>
      </w:r>
      <w:r>
        <w:rPr>
          <w:rFonts w:hint="eastAsia"/>
          <w:color w:val="000000" w:themeColor="text1"/>
        </w:rPr>
        <w:t>、第</w:t>
      </w:r>
      <w:proofErr w:type="gramStart"/>
      <w:r>
        <w:rPr>
          <w:rFonts w:hint="eastAsia"/>
          <w:color w:val="000000" w:themeColor="text1"/>
        </w:rPr>
        <w:t>六三门增长</w:t>
      </w:r>
      <w:proofErr w:type="gramEnd"/>
      <w:r>
        <w:rPr>
          <w:rFonts w:hint="eastAsia"/>
          <w:color w:val="000000" w:themeColor="text1"/>
        </w:rPr>
        <w:t>10.4%</w:t>
      </w:r>
      <w:r>
        <w:rPr>
          <w:rFonts w:hint="eastAsia"/>
          <w:color w:val="000000" w:themeColor="text1"/>
        </w:rPr>
        <w:t>）。</w:t>
      </w:r>
      <w:r w:rsidRPr="00D15EA9">
        <w:rPr>
          <w:rFonts w:hint="eastAsia"/>
          <w:color w:val="000000" w:themeColor="text1"/>
        </w:rPr>
        <w:t>（图</w:t>
      </w:r>
      <w:r w:rsidRPr="00D15EA9">
        <w:rPr>
          <w:rFonts w:hint="eastAsia"/>
          <w:color w:val="000000" w:themeColor="text1"/>
        </w:rPr>
        <w:t>6</w:t>
      </w:r>
      <w:r w:rsidRPr="00D15EA9">
        <w:rPr>
          <w:rFonts w:hint="eastAsia"/>
          <w:color w:val="000000" w:themeColor="text1"/>
        </w:rPr>
        <w:t>）</w:t>
      </w:r>
    </w:p>
    <w:p w:rsidR="008D2F4E" w:rsidRDefault="008D2F4E" w:rsidP="008D2F4E">
      <w:pPr>
        <w:keepNext/>
        <w:keepLines/>
        <w:tabs>
          <w:tab w:val="left" w:pos="851"/>
        </w:tabs>
        <w:spacing w:before="100" w:beforeAutospacing="1" w:after="100" w:afterAutospacing="1"/>
        <w:ind w:left="420"/>
        <w:rPr>
          <w:rFonts w:ascii="黑体" w:eastAsia="黑体" w:hAnsi="黑体"/>
          <w:color w:val="000000" w:themeColor="text1"/>
        </w:rPr>
      </w:pPr>
      <w:r>
        <w:rPr>
          <w:rFonts w:ascii="黑体" w:eastAsia="黑体" w:hAnsi="黑体" w:hint="eastAsia"/>
          <w:color w:val="000000" w:themeColor="text1"/>
        </w:rPr>
        <w:t>三、对外贸易</w:t>
      </w:r>
    </w:p>
    <w:p w:rsidR="008D2F4E" w:rsidRPr="00EF3AC9" w:rsidRDefault="008D2F4E" w:rsidP="008D2F4E">
      <w:pPr>
        <w:spacing w:before="100" w:beforeAutospacing="1" w:after="100" w:afterAutospacing="1"/>
        <w:ind w:firstLineChars="200" w:firstLine="420"/>
      </w:pPr>
      <w:r w:rsidRPr="00EF3AC9">
        <w:rPr>
          <w:rFonts w:hint="eastAsia"/>
        </w:rPr>
        <w:t>1-</w:t>
      </w:r>
      <w:r>
        <w:rPr>
          <w:rFonts w:hint="eastAsia"/>
        </w:rPr>
        <w:t>12</w:t>
      </w:r>
      <w:r w:rsidRPr="00EF3AC9">
        <w:rPr>
          <w:rFonts w:hint="eastAsia"/>
        </w:rPr>
        <w:t>月份，全市进出口</w:t>
      </w:r>
      <w:r>
        <w:rPr>
          <w:rFonts w:hint="eastAsia"/>
        </w:rPr>
        <w:t>1743.0</w:t>
      </w:r>
      <w:r w:rsidRPr="00EF3AC9">
        <w:rPr>
          <w:rFonts w:hint="eastAsia"/>
        </w:rPr>
        <w:t>亿元，同比增长</w:t>
      </w:r>
      <w:r>
        <w:rPr>
          <w:rFonts w:hint="eastAsia"/>
        </w:rPr>
        <w:t>10.4</w:t>
      </w:r>
      <w:r w:rsidRPr="00EF3AC9">
        <w:rPr>
          <w:rFonts w:hint="eastAsia"/>
        </w:rPr>
        <w:t>%</w:t>
      </w:r>
      <w:r w:rsidRPr="00EF3AC9">
        <w:rPr>
          <w:rFonts w:hint="eastAsia"/>
        </w:rPr>
        <w:t>，比全省平均水平</w:t>
      </w:r>
      <w:r>
        <w:rPr>
          <w:rFonts w:hint="eastAsia"/>
        </w:rPr>
        <w:t>低</w:t>
      </w:r>
      <w:r>
        <w:rPr>
          <w:rFonts w:hint="eastAsia"/>
        </w:rPr>
        <w:t>1.0</w:t>
      </w:r>
      <w:r w:rsidRPr="00EF3AC9">
        <w:rPr>
          <w:rFonts w:hint="eastAsia"/>
        </w:rPr>
        <w:t>个百分点，比全国平均水平高</w:t>
      </w:r>
      <w:r>
        <w:rPr>
          <w:rFonts w:hint="eastAsia"/>
        </w:rPr>
        <w:t>0.7</w:t>
      </w:r>
      <w:r w:rsidRPr="00EF3AC9">
        <w:rPr>
          <w:rFonts w:hint="eastAsia"/>
        </w:rPr>
        <w:t>个百分点（图</w:t>
      </w:r>
      <w:r w:rsidRPr="00EF3AC9">
        <w:rPr>
          <w:rFonts w:hint="eastAsia"/>
        </w:rPr>
        <w:t>7</w:t>
      </w:r>
      <w:r w:rsidRPr="00EF3AC9">
        <w:rPr>
          <w:rFonts w:hint="eastAsia"/>
        </w:rPr>
        <w:t>）；其中，出口</w:t>
      </w:r>
      <w:r>
        <w:rPr>
          <w:rFonts w:hint="eastAsia"/>
        </w:rPr>
        <w:t>1537.6</w:t>
      </w:r>
      <w:r w:rsidRPr="00EF3AC9">
        <w:rPr>
          <w:rFonts w:hint="eastAsia"/>
        </w:rPr>
        <w:t>亿元，同比增长</w:t>
      </w:r>
      <w:r>
        <w:rPr>
          <w:rFonts w:hint="eastAsia"/>
        </w:rPr>
        <w:t>11.5</w:t>
      </w:r>
      <w:r w:rsidRPr="00EF3AC9">
        <w:rPr>
          <w:rFonts w:hint="eastAsia"/>
        </w:rPr>
        <w:t>%</w:t>
      </w:r>
      <w:r w:rsidRPr="00EF3AC9">
        <w:rPr>
          <w:rFonts w:hint="eastAsia"/>
        </w:rPr>
        <w:t>，高于全省平均</w:t>
      </w:r>
      <w:r>
        <w:rPr>
          <w:rFonts w:hint="eastAsia"/>
        </w:rPr>
        <w:t>2.5</w:t>
      </w:r>
      <w:r w:rsidRPr="00EF3AC9">
        <w:t>个百分点</w:t>
      </w:r>
      <w:r w:rsidRPr="00EF3AC9">
        <w:rPr>
          <w:rFonts w:hint="eastAsia"/>
        </w:rPr>
        <w:t>，比全国高</w:t>
      </w:r>
      <w:r>
        <w:rPr>
          <w:rFonts w:hint="eastAsia"/>
        </w:rPr>
        <w:t>4.4</w:t>
      </w:r>
      <w:r w:rsidRPr="00EF3AC9">
        <w:rPr>
          <w:rFonts w:hint="eastAsia"/>
        </w:rPr>
        <w:t>个百分点；（图</w:t>
      </w:r>
      <w:r w:rsidRPr="00EF3AC9">
        <w:rPr>
          <w:rFonts w:hint="eastAsia"/>
        </w:rPr>
        <w:t>8</w:t>
      </w:r>
      <w:r w:rsidRPr="00EF3AC9">
        <w:t>）</w:t>
      </w:r>
      <w:r w:rsidRPr="00EF3AC9">
        <w:rPr>
          <w:rFonts w:hint="eastAsia"/>
        </w:rPr>
        <w:t>进口</w:t>
      </w:r>
      <w:r>
        <w:rPr>
          <w:rFonts w:hint="eastAsia"/>
        </w:rPr>
        <w:t>205.4</w:t>
      </w:r>
      <w:r w:rsidRPr="00EF3AC9">
        <w:rPr>
          <w:rFonts w:hint="eastAsia"/>
        </w:rPr>
        <w:t>亿元，同比增长</w:t>
      </w:r>
      <w:r>
        <w:rPr>
          <w:rFonts w:hint="eastAsia"/>
        </w:rPr>
        <w:t>3.1</w:t>
      </w:r>
      <w:r w:rsidRPr="00EF3AC9">
        <w:rPr>
          <w:rFonts w:hint="eastAsia"/>
        </w:rPr>
        <w:t>%</w:t>
      </w:r>
      <w:r w:rsidRPr="00EF3AC9">
        <w:rPr>
          <w:rFonts w:hint="eastAsia"/>
        </w:rPr>
        <w:t>，比全省低</w:t>
      </w:r>
      <w:r>
        <w:rPr>
          <w:rFonts w:hint="eastAsia"/>
        </w:rPr>
        <w:t>15.9</w:t>
      </w:r>
      <w:r w:rsidRPr="00EF3AC9">
        <w:rPr>
          <w:rFonts w:hint="eastAsia"/>
        </w:rPr>
        <w:t>个百分点，比全国低</w:t>
      </w:r>
      <w:r>
        <w:rPr>
          <w:rFonts w:hint="eastAsia"/>
        </w:rPr>
        <w:t>9.8</w:t>
      </w:r>
      <w:r w:rsidRPr="00EF3AC9">
        <w:rPr>
          <w:rFonts w:hint="eastAsia"/>
        </w:rPr>
        <w:t>个百分点，进出口贸易顺差</w:t>
      </w:r>
      <w:r>
        <w:rPr>
          <w:rFonts w:hint="eastAsia"/>
        </w:rPr>
        <w:t>1332.2</w:t>
      </w:r>
      <w:r w:rsidRPr="00EF3AC9">
        <w:rPr>
          <w:rFonts w:hint="eastAsia"/>
        </w:rPr>
        <w:t>亿元。全市出口占全省比重为</w:t>
      </w:r>
      <w:r>
        <w:rPr>
          <w:rFonts w:hint="eastAsia"/>
        </w:rPr>
        <w:t>7.3</w:t>
      </w:r>
      <w:r w:rsidRPr="00EF3AC9">
        <w:rPr>
          <w:rFonts w:hint="eastAsia"/>
        </w:rPr>
        <w:t>%</w:t>
      </w:r>
      <w:r w:rsidRPr="00EF3AC9">
        <w:rPr>
          <w:rFonts w:hint="eastAsia"/>
        </w:rPr>
        <w:t>，占全国比重为</w:t>
      </w:r>
      <w:r>
        <w:rPr>
          <w:rFonts w:hint="eastAsia"/>
        </w:rPr>
        <w:t>9.4</w:t>
      </w:r>
      <w:r w:rsidRPr="00EF3AC9">
        <w:rPr>
          <w:rFonts w:hint="eastAsia"/>
        </w:rPr>
        <w:t>‰，高于考核目标（</w:t>
      </w:r>
      <w:r w:rsidRPr="00EF3AC9">
        <w:rPr>
          <w:rFonts w:hint="eastAsia"/>
        </w:rPr>
        <w:t>9.0</w:t>
      </w:r>
      <w:r w:rsidRPr="00EF3AC9">
        <w:rPr>
          <w:rFonts w:hint="eastAsia"/>
        </w:rPr>
        <w:t>‰）</w:t>
      </w:r>
      <w:r w:rsidRPr="00EF3AC9">
        <w:rPr>
          <w:rFonts w:hint="eastAsia"/>
        </w:rPr>
        <w:t>0.</w:t>
      </w:r>
      <w:r>
        <w:rPr>
          <w:rFonts w:hint="eastAsia"/>
        </w:rPr>
        <w:t>4</w:t>
      </w:r>
      <w:r w:rsidRPr="00EF3AC9">
        <w:rPr>
          <w:rFonts w:hint="eastAsia"/>
        </w:rPr>
        <w:t>个千分点。</w:t>
      </w:r>
      <w:r w:rsidRPr="00EF3AC9">
        <w:rPr>
          <w:rFonts w:hint="eastAsia"/>
        </w:rPr>
        <w:t>1-</w:t>
      </w:r>
      <w:r>
        <w:rPr>
          <w:rFonts w:hint="eastAsia"/>
        </w:rPr>
        <w:t>12</w:t>
      </w:r>
      <w:r w:rsidRPr="00EF3AC9">
        <w:rPr>
          <w:rFonts w:hint="eastAsia"/>
        </w:rPr>
        <w:t>月份，全市外贸运行有以下特点：</w:t>
      </w:r>
    </w:p>
    <w:p w:rsidR="008D2F4E" w:rsidRDefault="008D2F4E" w:rsidP="008D2F4E">
      <w:pPr>
        <w:keepNext/>
        <w:spacing w:before="100" w:beforeAutospacing="1"/>
        <w:jc w:val="center"/>
        <w:rPr>
          <w:color w:val="000000" w:themeColor="text1"/>
        </w:rPr>
      </w:pPr>
      <w:r>
        <w:rPr>
          <w:noProof/>
          <w:color w:val="000000" w:themeColor="text1"/>
        </w:rPr>
        <w:lastRenderedPageBreak/>
        <w:drawing>
          <wp:inline distT="0" distB="0" distL="0" distR="0" wp14:anchorId="063F2104" wp14:editId="3EE25206">
            <wp:extent cx="3661200" cy="21960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61200" cy="2196000"/>
                    </a:xfrm>
                    <a:prstGeom prst="rect">
                      <a:avLst/>
                    </a:prstGeom>
                    <a:noFill/>
                    <a:ln>
                      <a:noFill/>
                    </a:ln>
                  </pic:spPr>
                </pic:pic>
              </a:graphicData>
            </a:graphic>
          </wp:inline>
        </w:drawing>
      </w:r>
    </w:p>
    <w:p w:rsidR="008D2F4E" w:rsidRDefault="008D2F4E" w:rsidP="008D2F4E">
      <w:pPr>
        <w:pStyle w:val="ac"/>
        <w:jc w:val="center"/>
        <w:rPr>
          <w:color w:val="000000" w:themeColor="text1"/>
        </w:rPr>
      </w:pPr>
      <w:bookmarkStart w:id="9" w:name="_Ref410034062"/>
      <w:r>
        <w:rPr>
          <w:rFonts w:hint="eastAsia"/>
          <w:color w:val="000000" w:themeColor="text1"/>
        </w:rPr>
        <w:t>图</w:t>
      </w:r>
      <w:bookmarkEnd w:id="9"/>
      <w:r>
        <w:rPr>
          <w:rFonts w:hint="eastAsia"/>
          <w:color w:val="000000" w:themeColor="text1"/>
        </w:rPr>
        <w:t>7  2014-</w:t>
      </w:r>
      <w:r>
        <w:rPr>
          <w:color w:val="000000" w:themeColor="text1"/>
        </w:rPr>
        <w:t>201</w:t>
      </w:r>
      <w:r>
        <w:rPr>
          <w:rFonts w:hint="eastAsia"/>
          <w:color w:val="000000" w:themeColor="text1"/>
        </w:rPr>
        <w:t>8</w:t>
      </w:r>
      <w:r>
        <w:rPr>
          <w:rFonts w:hint="eastAsia"/>
          <w:color w:val="000000" w:themeColor="text1"/>
        </w:rPr>
        <w:t>年台州、</w:t>
      </w:r>
      <w:r>
        <w:rPr>
          <w:color w:val="000000" w:themeColor="text1"/>
        </w:rPr>
        <w:t>浙江、全国</w:t>
      </w:r>
      <w:r>
        <w:rPr>
          <w:rFonts w:hint="eastAsia"/>
          <w:color w:val="000000" w:themeColor="text1"/>
        </w:rPr>
        <w:t>按月累计进出口（美元</w:t>
      </w:r>
      <w:r>
        <w:rPr>
          <w:color w:val="000000" w:themeColor="text1"/>
        </w:rPr>
        <w:t>）</w:t>
      </w:r>
      <w:r>
        <w:rPr>
          <w:rFonts w:hint="eastAsia"/>
          <w:color w:val="000000" w:themeColor="text1"/>
        </w:rPr>
        <w:t>同比（</w:t>
      </w:r>
      <w:r>
        <w:rPr>
          <w:rFonts w:hint="eastAsia"/>
          <w:color w:val="000000" w:themeColor="text1"/>
        </w:rPr>
        <w:t>%</w:t>
      </w:r>
      <w:r>
        <w:rPr>
          <w:color w:val="000000" w:themeColor="text1"/>
        </w:rPr>
        <w:t>）</w:t>
      </w:r>
    </w:p>
    <w:p w:rsidR="008D2F4E" w:rsidRDefault="008D2F4E" w:rsidP="008D2F4E">
      <w:pPr>
        <w:keepNext/>
        <w:spacing w:before="100" w:beforeAutospacing="1"/>
        <w:jc w:val="center"/>
        <w:rPr>
          <w:color w:val="000000" w:themeColor="text1"/>
        </w:rPr>
      </w:pPr>
      <w:r>
        <w:rPr>
          <w:noProof/>
          <w:color w:val="000000" w:themeColor="text1"/>
        </w:rPr>
        <w:drawing>
          <wp:inline distT="0" distB="0" distL="0" distR="0" wp14:anchorId="0B71732B" wp14:editId="1A5BFAEF">
            <wp:extent cx="3434400" cy="20592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34400" cy="2059200"/>
                    </a:xfrm>
                    <a:prstGeom prst="rect">
                      <a:avLst/>
                    </a:prstGeom>
                    <a:noFill/>
                    <a:ln>
                      <a:noFill/>
                    </a:ln>
                  </pic:spPr>
                </pic:pic>
              </a:graphicData>
            </a:graphic>
          </wp:inline>
        </w:drawing>
      </w:r>
    </w:p>
    <w:p w:rsidR="008D2F4E" w:rsidRDefault="008D2F4E" w:rsidP="008D2F4E">
      <w:pPr>
        <w:pStyle w:val="ac"/>
        <w:jc w:val="center"/>
        <w:rPr>
          <w:color w:val="000000" w:themeColor="text1"/>
        </w:rPr>
      </w:pPr>
      <w:bookmarkStart w:id="10" w:name="_Ref410034079"/>
      <w:r>
        <w:rPr>
          <w:rFonts w:hint="eastAsia"/>
          <w:color w:val="000000" w:themeColor="text1"/>
        </w:rPr>
        <w:t>图</w:t>
      </w:r>
      <w:bookmarkEnd w:id="10"/>
      <w:r>
        <w:rPr>
          <w:rFonts w:hint="eastAsia"/>
          <w:color w:val="000000" w:themeColor="text1"/>
        </w:rPr>
        <w:t>8  2014-</w:t>
      </w:r>
      <w:r>
        <w:rPr>
          <w:color w:val="000000" w:themeColor="text1"/>
        </w:rPr>
        <w:t>201</w:t>
      </w:r>
      <w:r>
        <w:rPr>
          <w:rFonts w:hint="eastAsia"/>
          <w:color w:val="000000" w:themeColor="text1"/>
        </w:rPr>
        <w:t>8</w:t>
      </w:r>
      <w:r>
        <w:rPr>
          <w:rFonts w:hint="eastAsia"/>
          <w:color w:val="000000" w:themeColor="text1"/>
        </w:rPr>
        <w:t>年台州、</w:t>
      </w:r>
      <w:r>
        <w:rPr>
          <w:color w:val="000000" w:themeColor="text1"/>
        </w:rPr>
        <w:t>浙江、全国</w:t>
      </w:r>
      <w:r>
        <w:rPr>
          <w:rFonts w:hint="eastAsia"/>
          <w:color w:val="000000" w:themeColor="text1"/>
        </w:rPr>
        <w:t>按月累计出口（美元</w:t>
      </w:r>
      <w:r>
        <w:rPr>
          <w:color w:val="000000" w:themeColor="text1"/>
        </w:rPr>
        <w:t>）</w:t>
      </w:r>
      <w:r>
        <w:rPr>
          <w:rFonts w:hint="eastAsia"/>
          <w:color w:val="000000" w:themeColor="text1"/>
        </w:rPr>
        <w:t>同比（</w:t>
      </w:r>
      <w:r>
        <w:rPr>
          <w:rFonts w:hint="eastAsia"/>
          <w:color w:val="000000" w:themeColor="text1"/>
        </w:rPr>
        <w:t>%</w:t>
      </w:r>
      <w:r>
        <w:rPr>
          <w:color w:val="000000" w:themeColor="text1"/>
        </w:rPr>
        <w:t>）</w:t>
      </w:r>
    </w:p>
    <w:p w:rsidR="008D2F4E" w:rsidRDefault="008D2F4E" w:rsidP="008D2F4E">
      <w:pPr>
        <w:spacing w:before="100" w:beforeAutospacing="1" w:after="100" w:afterAutospacing="1"/>
        <w:ind w:firstLineChars="200" w:firstLine="420"/>
      </w:pPr>
      <w:r>
        <w:rPr>
          <w:rFonts w:ascii="楷体_GB2312" w:eastAsia="楷体_GB2312"/>
          <w:color w:val="000000" w:themeColor="text1"/>
        </w:rPr>
        <w:t>外贸</w:t>
      </w:r>
      <w:r>
        <w:rPr>
          <w:rFonts w:ascii="楷体_GB2312" w:eastAsia="楷体_GB2312" w:hint="eastAsia"/>
          <w:color w:val="000000" w:themeColor="text1"/>
        </w:rPr>
        <w:t>单月出口增速下滑</w:t>
      </w:r>
      <w:r>
        <w:rPr>
          <w:rFonts w:hint="eastAsia"/>
          <w:color w:val="000000" w:themeColor="text1"/>
        </w:rPr>
        <w:t>。</w:t>
      </w:r>
      <w:r>
        <w:rPr>
          <w:rFonts w:hint="eastAsia"/>
        </w:rPr>
        <w:t>1-12</w:t>
      </w:r>
      <w:r>
        <w:rPr>
          <w:rFonts w:hint="eastAsia"/>
        </w:rPr>
        <w:t>月份，进出口额</w:t>
      </w:r>
      <w:r>
        <w:rPr>
          <w:rFonts w:hint="eastAsia"/>
        </w:rPr>
        <w:t>1743.0</w:t>
      </w:r>
      <w:r>
        <w:rPr>
          <w:rFonts w:hint="eastAsia"/>
        </w:rPr>
        <w:t>亿</w:t>
      </w:r>
      <w:r>
        <w:t>元，同比增长</w:t>
      </w:r>
      <w:r>
        <w:rPr>
          <w:rFonts w:hint="eastAsia"/>
        </w:rPr>
        <w:t>10.4</w:t>
      </w:r>
      <w:r>
        <w:t>%</w:t>
      </w:r>
      <w:r>
        <w:rPr>
          <w:rFonts w:hint="eastAsia"/>
        </w:rPr>
        <w:t>；</w:t>
      </w:r>
      <w:r>
        <w:t>出口</w:t>
      </w:r>
      <w:r>
        <w:rPr>
          <w:rFonts w:hint="eastAsia"/>
        </w:rPr>
        <w:t>1537.6</w:t>
      </w:r>
      <w:r>
        <w:rPr>
          <w:rFonts w:hint="eastAsia"/>
        </w:rPr>
        <w:t>亿元</w:t>
      </w:r>
      <w:r>
        <w:t>，同比增长</w:t>
      </w:r>
      <w:r>
        <w:rPr>
          <w:rFonts w:hint="eastAsia"/>
        </w:rPr>
        <w:t>11.5</w:t>
      </w:r>
      <w:r>
        <w:t>%</w:t>
      </w:r>
      <w:r>
        <w:rPr>
          <w:rFonts w:hint="eastAsia"/>
        </w:rPr>
        <w:t>。</w:t>
      </w:r>
      <w:r>
        <w:rPr>
          <w:rFonts w:hint="eastAsia"/>
          <w:color w:val="000000" w:themeColor="text1"/>
        </w:rPr>
        <w:t>12</w:t>
      </w:r>
      <w:r>
        <w:rPr>
          <w:rFonts w:hint="eastAsia"/>
          <w:color w:val="000000" w:themeColor="text1"/>
        </w:rPr>
        <w:t>月份单月，进出口</w:t>
      </w:r>
      <w:r>
        <w:rPr>
          <w:rFonts w:hint="eastAsia"/>
          <w:color w:val="000000" w:themeColor="text1"/>
        </w:rPr>
        <w:t>178.5</w:t>
      </w:r>
      <w:r>
        <w:rPr>
          <w:rFonts w:hint="eastAsia"/>
          <w:color w:val="000000" w:themeColor="text1"/>
        </w:rPr>
        <w:t>亿元，同比增长</w:t>
      </w:r>
      <w:r>
        <w:rPr>
          <w:rFonts w:hint="eastAsia"/>
          <w:color w:val="000000" w:themeColor="text1"/>
        </w:rPr>
        <w:t>3.2%</w:t>
      </w:r>
      <w:r>
        <w:rPr>
          <w:rFonts w:hint="eastAsia"/>
          <w:color w:val="000000" w:themeColor="text1"/>
        </w:rPr>
        <w:t>；出口</w:t>
      </w:r>
      <w:r>
        <w:rPr>
          <w:rFonts w:hint="eastAsia"/>
          <w:color w:val="000000" w:themeColor="text1"/>
        </w:rPr>
        <w:t>159.8</w:t>
      </w:r>
      <w:r>
        <w:rPr>
          <w:rFonts w:hint="eastAsia"/>
          <w:color w:val="000000" w:themeColor="text1"/>
        </w:rPr>
        <w:t>亿元，同比增长</w:t>
      </w:r>
      <w:r>
        <w:rPr>
          <w:rFonts w:hint="eastAsia"/>
          <w:color w:val="000000" w:themeColor="text1"/>
        </w:rPr>
        <w:t>5.4%</w:t>
      </w:r>
      <w:r>
        <w:rPr>
          <w:rFonts w:hint="eastAsia"/>
          <w:color w:val="000000" w:themeColor="text1"/>
        </w:rPr>
        <w:t>，较上个月下降</w:t>
      </w:r>
      <w:r>
        <w:rPr>
          <w:rFonts w:hint="eastAsia"/>
          <w:color w:val="000000" w:themeColor="text1"/>
        </w:rPr>
        <w:t>11.4</w:t>
      </w:r>
      <w:r>
        <w:rPr>
          <w:rFonts w:hint="eastAsia"/>
          <w:color w:val="000000" w:themeColor="text1"/>
        </w:rPr>
        <w:t>个百分点。</w:t>
      </w:r>
      <w:r>
        <w:rPr>
          <w:rFonts w:hint="eastAsia"/>
        </w:rPr>
        <w:t>（图</w:t>
      </w:r>
      <w:r>
        <w:rPr>
          <w:rFonts w:hint="eastAsia"/>
        </w:rPr>
        <w:t>9</w:t>
      </w:r>
      <w:r>
        <w:t>）</w:t>
      </w:r>
    </w:p>
    <w:p w:rsidR="008D2F4E" w:rsidRDefault="008D2F4E" w:rsidP="008D2F4E">
      <w:pPr>
        <w:spacing w:before="100" w:beforeAutospacing="1" w:after="100" w:afterAutospacing="1"/>
        <w:ind w:firstLineChars="200" w:firstLine="420"/>
        <w:jc w:val="center"/>
        <w:rPr>
          <w:color w:val="000000" w:themeColor="text1"/>
        </w:rPr>
      </w:pPr>
      <w:r>
        <w:rPr>
          <w:noProof/>
          <w:color w:val="000000" w:themeColor="text1"/>
        </w:rPr>
        <w:drawing>
          <wp:inline distT="0" distB="0" distL="0" distR="0" wp14:anchorId="55B67325" wp14:editId="536C47DA">
            <wp:extent cx="3664800" cy="2163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64800" cy="2163600"/>
                    </a:xfrm>
                    <a:prstGeom prst="rect">
                      <a:avLst/>
                    </a:prstGeom>
                    <a:noFill/>
                    <a:ln>
                      <a:noFill/>
                    </a:ln>
                  </pic:spPr>
                </pic:pic>
              </a:graphicData>
            </a:graphic>
          </wp:inline>
        </w:drawing>
      </w:r>
    </w:p>
    <w:p w:rsidR="008D2F4E" w:rsidRDefault="008D2F4E" w:rsidP="008D2F4E">
      <w:pPr>
        <w:pStyle w:val="ac"/>
        <w:jc w:val="center"/>
        <w:rPr>
          <w:color w:val="000000" w:themeColor="text1"/>
        </w:rPr>
      </w:pPr>
      <w:bookmarkStart w:id="11" w:name="_Ref387922825"/>
      <w:r>
        <w:rPr>
          <w:rFonts w:hint="eastAsia"/>
          <w:color w:val="000000" w:themeColor="text1"/>
        </w:rPr>
        <w:t>图</w:t>
      </w:r>
      <w:bookmarkEnd w:id="11"/>
      <w:r>
        <w:rPr>
          <w:rFonts w:hint="eastAsia"/>
          <w:color w:val="000000" w:themeColor="text1"/>
        </w:rPr>
        <w:t>9   2016-2018</w:t>
      </w:r>
      <w:r>
        <w:rPr>
          <w:rFonts w:hint="eastAsia"/>
          <w:color w:val="000000" w:themeColor="text1"/>
        </w:rPr>
        <w:t>年台州市进出口额分月情况（亿美元</w:t>
      </w:r>
      <w:r>
        <w:rPr>
          <w:color w:val="000000" w:themeColor="text1"/>
        </w:rPr>
        <w:t>）</w:t>
      </w:r>
    </w:p>
    <w:p w:rsidR="008D2F4E" w:rsidRDefault="008D2F4E" w:rsidP="008D2F4E">
      <w:pPr>
        <w:keepNext/>
        <w:spacing w:before="100" w:beforeAutospacing="1"/>
        <w:jc w:val="center"/>
        <w:rPr>
          <w:color w:val="000000" w:themeColor="text1"/>
        </w:rPr>
      </w:pPr>
      <w:r>
        <w:rPr>
          <w:noProof/>
          <w:color w:val="000000" w:themeColor="text1"/>
        </w:rPr>
        <w:lastRenderedPageBreak/>
        <w:drawing>
          <wp:inline distT="0" distB="0" distL="0" distR="0" wp14:anchorId="7C0D683C" wp14:editId="2964B12C">
            <wp:extent cx="3675600" cy="21960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75600" cy="2196000"/>
                    </a:xfrm>
                    <a:prstGeom prst="rect">
                      <a:avLst/>
                    </a:prstGeom>
                    <a:noFill/>
                    <a:ln>
                      <a:noFill/>
                    </a:ln>
                  </pic:spPr>
                </pic:pic>
              </a:graphicData>
            </a:graphic>
          </wp:inline>
        </w:drawing>
      </w:r>
    </w:p>
    <w:p w:rsidR="008D2F4E" w:rsidRDefault="008D2F4E" w:rsidP="008D2F4E">
      <w:pPr>
        <w:pStyle w:val="ac"/>
        <w:jc w:val="center"/>
        <w:rPr>
          <w:color w:val="000000" w:themeColor="text1"/>
        </w:rPr>
      </w:pPr>
      <w:bookmarkStart w:id="12" w:name="_Ref410034125"/>
      <w:r>
        <w:rPr>
          <w:rFonts w:hint="eastAsia"/>
          <w:color w:val="000000" w:themeColor="text1"/>
        </w:rPr>
        <w:t>图</w:t>
      </w:r>
      <w:bookmarkEnd w:id="12"/>
      <w:r>
        <w:rPr>
          <w:rFonts w:hint="eastAsia"/>
          <w:color w:val="000000" w:themeColor="text1"/>
        </w:rPr>
        <w:t xml:space="preserve">10  </w:t>
      </w:r>
      <w:r>
        <w:rPr>
          <w:color w:val="000000" w:themeColor="text1"/>
        </w:rPr>
        <w:t>201</w:t>
      </w:r>
      <w:r>
        <w:rPr>
          <w:rFonts w:hint="eastAsia"/>
          <w:color w:val="000000" w:themeColor="text1"/>
        </w:rPr>
        <w:t>8</w:t>
      </w:r>
      <w:r>
        <w:rPr>
          <w:rFonts w:hint="eastAsia"/>
          <w:color w:val="000000" w:themeColor="text1"/>
        </w:rPr>
        <w:t>年</w:t>
      </w:r>
      <w:r>
        <w:rPr>
          <w:rFonts w:hint="eastAsia"/>
          <w:color w:val="000000" w:themeColor="text1"/>
        </w:rPr>
        <w:t>1-12</w:t>
      </w:r>
      <w:r>
        <w:rPr>
          <w:rFonts w:hint="eastAsia"/>
          <w:color w:val="000000" w:themeColor="text1"/>
        </w:rPr>
        <w:t>月浙江省各市进出口情况（万元</w:t>
      </w:r>
      <w:r>
        <w:rPr>
          <w:color w:val="000000" w:themeColor="text1"/>
        </w:rPr>
        <w:t>）</w:t>
      </w:r>
    </w:p>
    <w:p w:rsidR="008D2F4E" w:rsidRDefault="008D2F4E" w:rsidP="008D2F4E">
      <w:pPr>
        <w:spacing w:before="100" w:beforeAutospacing="1" w:after="100" w:afterAutospacing="1"/>
        <w:ind w:firstLineChars="200" w:firstLine="420"/>
      </w:pPr>
      <w:r>
        <w:rPr>
          <w:rFonts w:ascii="楷体_GB2312" w:eastAsia="楷体_GB2312" w:hint="eastAsia"/>
          <w:color w:val="000000" w:themeColor="text1"/>
        </w:rPr>
        <w:t>外贸规模全省位次稳定，出口增速排名小幅上升。</w:t>
      </w:r>
      <w:r>
        <w:rPr>
          <w:rFonts w:hint="eastAsia"/>
        </w:rPr>
        <w:t xml:space="preserve"> 1-12</w:t>
      </w:r>
      <w:r>
        <w:rPr>
          <w:rFonts w:hint="eastAsia"/>
        </w:rPr>
        <w:t>月份，全市进出口额、出口额和进口额分别</w:t>
      </w:r>
      <w:r>
        <w:t>位列全省第</w:t>
      </w:r>
      <w:r>
        <w:rPr>
          <w:rFonts w:hint="eastAsia"/>
        </w:rPr>
        <w:t>六、第六、第五</w:t>
      </w:r>
      <w:r>
        <w:t>；</w:t>
      </w:r>
      <w:r>
        <w:rPr>
          <w:rFonts w:hint="eastAsia"/>
        </w:rPr>
        <w:t>进出口增幅</w:t>
      </w:r>
      <w:r>
        <w:t>、出口</w:t>
      </w:r>
      <w:r>
        <w:rPr>
          <w:rFonts w:hint="eastAsia"/>
        </w:rPr>
        <w:t>增幅和</w:t>
      </w:r>
      <w:r>
        <w:t>进口</w:t>
      </w:r>
      <w:r>
        <w:rPr>
          <w:rFonts w:hint="eastAsia"/>
        </w:rPr>
        <w:t>增幅</w:t>
      </w:r>
      <w:r>
        <w:t>分别位列全省第</w:t>
      </w:r>
      <w:r>
        <w:rPr>
          <w:rFonts w:hint="eastAsia"/>
        </w:rPr>
        <w:t>九</w:t>
      </w:r>
      <w:r>
        <w:t>、第</w:t>
      </w:r>
      <w:r>
        <w:rPr>
          <w:rFonts w:hint="eastAsia"/>
        </w:rPr>
        <w:t>四和</w:t>
      </w:r>
      <w:r>
        <w:t>第</w:t>
      </w:r>
      <w:r>
        <w:rPr>
          <w:rFonts w:hint="eastAsia"/>
        </w:rPr>
        <w:t>十一</w:t>
      </w:r>
      <w:r>
        <w:t>。</w:t>
      </w:r>
      <w:r>
        <w:rPr>
          <w:rFonts w:hint="eastAsia"/>
        </w:rPr>
        <w:t>（图</w:t>
      </w:r>
      <w:r>
        <w:rPr>
          <w:rFonts w:hint="eastAsia"/>
        </w:rPr>
        <w:t>10</w:t>
      </w:r>
      <w:r>
        <w:rPr>
          <w:rFonts w:hint="eastAsia"/>
        </w:rPr>
        <w:t>）</w:t>
      </w:r>
    </w:p>
    <w:p w:rsidR="008D2F4E" w:rsidRDefault="008D2F4E" w:rsidP="008D2F4E">
      <w:pPr>
        <w:spacing w:before="100" w:beforeAutospacing="1" w:after="100" w:afterAutospacing="1"/>
        <w:ind w:firstLineChars="200" w:firstLine="420"/>
      </w:pPr>
      <w:r>
        <w:rPr>
          <w:rFonts w:ascii="楷体_GB2312" w:eastAsia="楷体_GB2312" w:hint="eastAsia"/>
          <w:color w:val="000000" w:themeColor="text1"/>
        </w:rPr>
        <w:t>县市区出口增速分化明显</w:t>
      </w:r>
      <w:r>
        <w:rPr>
          <w:rFonts w:hint="eastAsia"/>
          <w:color w:val="000000" w:themeColor="text1"/>
        </w:rPr>
        <w:t>。</w:t>
      </w:r>
      <w:r>
        <w:rPr>
          <w:rFonts w:hint="eastAsia"/>
        </w:rPr>
        <w:t>1-12</w:t>
      </w:r>
      <w:r>
        <w:rPr>
          <w:rFonts w:hint="eastAsia"/>
        </w:rPr>
        <w:t>月份，开发区</w:t>
      </w:r>
      <w:r>
        <w:t>出口增</w:t>
      </w:r>
      <w:r>
        <w:rPr>
          <w:rFonts w:hint="eastAsia"/>
        </w:rPr>
        <w:t>速</w:t>
      </w:r>
      <w:r>
        <w:t>为</w:t>
      </w:r>
      <w:r>
        <w:rPr>
          <w:rFonts w:hint="eastAsia"/>
        </w:rPr>
        <w:t>21.2</w:t>
      </w:r>
      <w:r>
        <w:t>%</w:t>
      </w:r>
      <w:r>
        <w:t>，</w:t>
      </w:r>
      <w:r>
        <w:rPr>
          <w:rFonts w:hint="eastAsia"/>
        </w:rPr>
        <w:t>高于</w:t>
      </w:r>
      <w:r>
        <w:t>全市平均</w:t>
      </w:r>
      <w:r>
        <w:rPr>
          <w:rFonts w:hint="eastAsia"/>
        </w:rPr>
        <w:t>9.7</w:t>
      </w:r>
      <w:r>
        <w:rPr>
          <w:rFonts w:hint="eastAsia"/>
        </w:rPr>
        <w:t>个</w:t>
      </w:r>
      <w:r>
        <w:t>百分点，其他</w:t>
      </w:r>
      <w:r>
        <w:rPr>
          <w:rFonts w:hint="eastAsia"/>
        </w:rPr>
        <w:t>9</w:t>
      </w:r>
      <w:r>
        <w:rPr>
          <w:rFonts w:hint="eastAsia"/>
        </w:rPr>
        <w:t>个</w:t>
      </w:r>
      <w:r>
        <w:t>县市区中</w:t>
      </w:r>
      <w:r>
        <w:rPr>
          <w:rFonts w:hint="eastAsia"/>
        </w:rPr>
        <w:t>有</w:t>
      </w:r>
      <w:r>
        <w:rPr>
          <w:rFonts w:hint="eastAsia"/>
        </w:rPr>
        <w:t>4</w:t>
      </w:r>
      <w:r>
        <w:rPr>
          <w:rFonts w:hint="eastAsia"/>
        </w:rPr>
        <w:t>个县市区增长高于全市平均（仙居</w:t>
      </w:r>
      <w:r>
        <w:t>第一</w:t>
      </w:r>
      <w:proofErr w:type="gramStart"/>
      <w:r>
        <w:rPr>
          <w:rFonts w:hint="eastAsia"/>
        </w:rPr>
        <w:t>36</w:t>
      </w:r>
      <w:proofErr w:type="gramEnd"/>
      <w:r>
        <w:rPr>
          <w:rFonts w:hint="eastAsia"/>
        </w:rPr>
        <w:t>.7</w:t>
      </w:r>
      <w:r>
        <w:t>%</w:t>
      </w:r>
      <w:r>
        <w:t>、</w:t>
      </w:r>
      <w:r>
        <w:rPr>
          <w:rFonts w:hint="eastAsia"/>
        </w:rPr>
        <w:t>椒江第二</w:t>
      </w:r>
      <w:proofErr w:type="gramStart"/>
      <w:r>
        <w:rPr>
          <w:rFonts w:hint="eastAsia"/>
        </w:rPr>
        <w:t>18</w:t>
      </w:r>
      <w:proofErr w:type="gramEnd"/>
      <w:r>
        <w:rPr>
          <w:rFonts w:hint="eastAsia"/>
        </w:rPr>
        <w:t>.1</w:t>
      </w:r>
      <w:r>
        <w:t>%</w:t>
      </w:r>
      <w:r>
        <w:t>、</w:t>
      </w:r>
      <w:r>
        <w:rPr>
          <w:rFonts w:hint="eastAsia"/>
        </w:rPr>
        <w:t>玉环</w:t>
      </w:r>
      <w:r>
        <w:t>第三</w:t>
      </w:r>
      <w:proofErr w:type="gramStart"/>
      <w:r>
        <w:rPr>
          <w:rFonts w:hint="eastAsia"/>
        </w:rPr>
        <w:t>14</w:t>
      </w:r>
      <w:proofErr w:type="gramEnd"/>
      <w:r>
        <w:rPr>
          <w:rFonts w:hint="eastAsia"/>
        </w:rPr>
        <w:t>.0%</w:t>
      </w:r>
      <w:r>
        <w:rPr>
          <w:rFonts w:hint="eastAsia"/>
        </w:rPr>
        <w:t>、临海第四</w:t>
      </w:r>
      <w:proofErr w:type="gramStart"/>
      <w:r>
        <w:rPr>
          <w:rFonts w:hint="eastAsia"/>
        </w:rPr>
        <w:t>12</w:t>
      </w:r>
      <w:proofErr w:type="gramEnd"/>
      <w:r>
        <w:rPr>
          <w:rFonts w:hint="eastAsia"/>
        </w:rPr>
        <w:t>.6%</w:t>
      </w:r>
      <w:r>
        <w:t>）</w:t>
      </w:r>
      <w:r>
        <w:rPr>
          <w:rFonts w:hint="eastAsia"/>
        </w:rPr>
        <w:t>。（图</w:t>
      </w:r>
      <w:r>
        <w:rPr>
          <w:rFonts w:hint="eastAsia"/>
        </w:rPr>
        <w:t>11</w:t>
      </w:r>
      <w:r>
        <w:t>）</w:t>
      </w:r>
    </w:p>
    <w:p w:rsidR="008D2F4E" w:rsidRDefault="008D2F4E" w:rsidP="008D2F4E">
      <w:pPr>
        <w:spacing w:before="100" w:beforeAutospacing="1" w:after="100" w:afterAutospacing="1"/>
        <w:ind w:firstLineChars="200" w:firstLine="420"/>
        <w:jc w:val="center"/>
      </w:pPr>
      <w:r>
        <w:rPr>
          <w:noProof/>
        </w:rPr>
        <w:drawing>
          <wp:inline distT="0" distB="0" distL="0" distR="0" wp14:anchorId="16EDA3B4" wp14:editId="35ADE524">
            <wp:extent cx="3661200" cy="21960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61200" cy="2196000"/>
                    </a:xfrm>
                    <a:prstGeom prst="rect">
                      <a:avLst/>
                    </a:prstGeom>
                    <a:noFill/>
                    <a:ln>
                      <a:noFill/>
                    </a:ln>
                  </pic:spPr>
                </pic:pic>
              </a:graphicData>
            </a:graphic>
          </wp:inline>
        </w:drawing>
      </w:r>
    </w:p>
    <w:p w:rsidR="008D2F4E" w:rsidRDefault="008D2F4E" w:rsidP="008D2F4E">
      <w:pPr>
        <w:pStyle w:val="ac"/>
        <w:jc w:val="center"/>
      </w:pPr>
      <w:bookmarkStart w:id="13" w:name="_Ref387934305"/>
      <w:r>
        <w:rPr>
          <w:rFonts w:hint="eastAsia"/>
        </w:rPr>
        <w:t>图</w:t>
      </w:r>
      <w:bookmarkEnd w:id="13"/>
      <w:r>
        <w:rPr>
          <w:rFonts w:hint="eastAsia"/>
        </w:rPr>
        <w:t>11  2018</w:t>
      </w:r>
      <w:r>
        <w:rPr>
          <w:rFonts w:hint="eastAsia"/>
        </w:rPr>
        <w:t>年</w:t>
      </w:r>
      <w:r>
        <w:rPr>
          <w:rFonts w:hint="eastAsia"/>
        </w:rPr>
        <w:t>1-12</w:t>
      </w:r>
      <w:r>
        <w:t>月</w:t>
      </w:r>
      <w:r>
        <w:rPr>
          <w:rFonts w:hint="eastAsia"/>
        </w:rPr>
        <w:t>份台州各县市区进出口情况（万元）</w:t>
      </w:r>
    </w:p>
    <w:p w:rsidR="008D2F4E" w:rsidRPr="00F53490" w:rsidRDefault="008D2F4E" w:rsidP="008D2F4E">
      <w:pPr>
        <w:spacing w:before="100" w:beforeAutospacing="1" w:after="100" w:afterAutospacing="1"/>
        <w:ind w:firstLineChars="200" w:firstLine="420"/>
        <w:rPr>
          <w:color w:val="000000" w:themeColor="text1"/>
        </w:rPr>
      </w:pPr>
      <w:r w:rsidRPr="00913C76">
        <w:rPr>
          <w:rFonts w:ascii="楷体_GB2312" w:eastAsia="楷体_GB2312" w:hint="eastAsia"/>
          <w:color w:val="000000" w:themeColor="text1"/>
        </w:rPr>
        <w:t>一般贸易出口</w:t>
      </w:r>
      <w:r>
        <w:rPr>
          <w:rFonts w:ascii="楷体_GB2312" w:eastAsia="楷体_GB2312" w:hint="eastAsia"/>
          <w:color w:val="000000" w:themeColor="text1"/>
        </w:rPr>
        <w:t>增势良好</w:t>
      </w:r>
      <w:r w:rsidRPr="00913C76">
        <w:rPr>
          <w:rFonts w:ascii="楷体_GB2312" w:eastAsia="楷体_GB2312" w:hint="eastAsia"/>
          <w:color w:val="000000" w:themeColor="text1"/>
        </w:rPr>
        <w:t>，加工贸易出口快速增长</w:t>
      </w:r>
      <w:r w:rsidRPr="00913C76">
        <w:rPr>
          <w:rFonts w:hint="eastAsia"/>
          <w:color w:val="000000" w:themeColor="text1"/>
        </w:rPr>
        <w:t>。</w:t>
      </w:r>
      <w:r>
        <w:rPr>
          <w:rFonts w:hint="eastAsia"/>
          <w:color w:val="000000" w:themeColor="text1"/>
        </w:rPr>
        <w:t>按贸易方式分，</w:t>
      </w:r>
      <w:r>
        <w:rPr>
          <w:rFonts w:hint="eastAsia"/>
          <w:color w:val="000000" w:themeColor="text1"/>
        </w:rPr>
        <w:t>1-12</w:t>
      </w:r>
      <w:r>
        <w:rPr>
          <w:rFonts w:hint="eastAsia"/>
          <w:color w:val="000000" w:themeColor="text1"/>
        </w:rPr>
        <w:t>月份，一般贸易出口</w:t>
      </w:r>
      <w:r>
        <w:rPr>
          <w:rFonts w:hint="eastAsia"/>
          <w:color w:val="000000" w:themeColor="text1"/>
        </w:rPr>
        <w:t>1407.5</w:t>
      </w:r>
      <w:r>
        <w:rPr>
          <w:rFonts w:hint="eastAsia"/>
          <w:color w:val="000000" w:themeColor="text1"/>
        </w:rPr>
        <w:t>亿元，同比增长</w:t>
      </w:r>
      <w:r>
        <w:rPr>
          <w:rFonts w:hint="eastAsia"/>
          <w:color w:val="000000" w:themeColor="text1"/>
        </w:rPr>
        <w:t>10.3%</w:t>
      </w:r>
      <w:r>
        <w:rPr>
          <w:color w:val="000000" w:themeColor="text1"/>
        </w:rPr>
        <w:t>，</w:t>
      </w:r>
      <w:r>
        <w:rPr>
          <w:rFonts w:hint="eastAsia"/>
          <w:color w:val="000000" w:themeColor="text1"/>
        </w:rPr>
        <w:t>占出口比重</w:t>
      </w:r>
      <w:r>
        <w:rPr>
          <w:rFonts w:hint="eastAsia"/>
          <w:color w:val="000000" w:themeColor="text1"/>
        </w:rPr>
        <w:t>91.5%</w:t>
      </w:r>
      <w:r>
        <w:rPr>
          <w:rFonts w:hint="eastAsia"/>
          <w:color w:val="000000" w:themeColor="text1"/>
        </w:rPr>
        <w:t>；加工贸易出口</w:t>
      </w:r>
      <w:r>
        <w:rPr>
          <w:rFonts w:hint="eastAsia"/>
          <w:color w:val="000000" w:themeColor="text1"/>
        </w:rPr>
        <w:t>129.8</w:t>
      </w:r>
      <w:r>
        <w:rPr>
          <w:rFonts w:hint="eastAsia"/>
          <w:color w:val="000000" w:themeColor="text1"/>
        </w:rPr>
        <w:t>亿元，同比增长</w:t>
      </w:r>
      <w:r>
        <w:rPr>
          <w:rFonts w:hint="eastAsia"/>
          <w:color w:val="000000" w:themeColor="text1"/>
        </w:rPr>
        <w:t>26.0%</w:t>
      </w:r>
      <w:r>
        <w:rPr>
          <w:rFonts w:hint="eastAsia"/>
          <w:color w:val="000000" w:themeColor="text1"/>
        </w:rPr>
        <w:t>，高于</w:t>
      </w:r>
      <w:r>
        <w:rPr>
          <w:color w:val="000000" w:themeColor="text1"/>
        </w:rPr>
        <w:t>全市平均</w:t>
      </w:r>
      <w:r>
        <w:rPr>
          <w:rFonts w:hint="eastAsia"/>
          <w:color w:val="000000" w:themeColor="text1"/>
        </w:rPr>
        <w:t>14.5</w:t>
      </w:r>
      <w:r>
        <w:rPr>
          <w:rFonts w:hint="eastAsia"/>
          <w:color w:val="000000" w:themeColor="text1"/>
        </w:rPr>
        <w:t>个</w:t>
      </w:r>
      <w:r>
        <w:rPr>
          <w:color w:val="000000" w:themeColor="text1"/>
        </w:rPr>
        <w:t>百分点，</w:t>
      </w:r>
      <w:r>
        <w:rPr>
          <w:rFonts w:hint="eastAsia"/>
          <w:color w:val="000000" w:themeColor="text1"/>
        </w:rPr>
        <w:t>占出口比重</w:t>
      </w:r>
      <w:r>
        <w:rPr>
          <w:rFonts w:hint="eastAsia"/>
          <w:color w:val="000000" w:themeColor="text1"/>
        </w:rPr>
        <w:t>8.4%</w:t>
      </w:r>
      <w:r>
        <w:rPr>
          <w:rFonts w:hint="eastAsia"/>
          <w:color w:val="000000" w:themeColor="text1"/>
        </w:rPr>
        <w:t>；其他贸易出口</w:t>
      </w:r>
      <w:r>
        <w:rPr>
          <w:rFonts w:hint="eastAsia"/>
          <w:color w:val="000000" w:themeColor="text1"/>
        </w:rPr>
        <w:t>2570</w:t>
      </w:r>
      <w:r>
        <w:rPr>
          <w:rFonts w:hint="eastAsia"/>
          <w:color w:val="000000" w:themeColor="text1"/>
        </w:rPr>
        <w:t>万元，同比增长</w:t>
      </w:r>
      <w:r>
        <w:rPr>
          <w:rFonts w:hint="eastAsia"/>
          <w:color w:val="000000" w:themeColor="text1"/>
        </w:rPr>
        <w:t>-18.5%</w:t>
      </w:r>
      <w:r>
        <w:rPr>
          <w:rFonts w:hint="eastAsia"/>
          <w:color w:val="000000" w:themeColor="text1"/>
        </w:rPr>
        <w:t>。按企业性质分，生产企业出口</w:t>
      </w:r>
      <w:r>
        <w:rPr>
          <w:rFonts w:hint="eastAsia"/>
          <w:color w:val="000000" w:themeColor="text1"/>
        </w:rPr>
        <w:t>1136.8</w:t>
      </w:r>
      <w:r>
        <w:rPr>
          <w:rFonts w:hint="eastAsia"/>
          <w:color w:val="000000" w:themeColor="text1"/>
        </w:rPr>
        <w:t>亿元，同比增长</w:t>
      </w:r>
      <w:r>
        <w:rPr>
          <w:rFonts w:hint="eastAsia"/>
          <w:color w:val="000000" w:themeColor="text1"/>
        </w:rPr>
        <w:t>12.6%</w:t>
      </w:r>
      <w:r>
        <w:rPr>
          <w:rFonts w:hint="eastAsia"/>
          <w:color w:val="000000" w:themeColor="text1"/>
        </w:rPr>
        <w:t>，高于全市平均</w:t>
      </w:r>
      <w:r>
        <w:rPr>
          <w:rFonts w:hint="eastAsia"/>
          <w:color w:val="000000" w:themeColor="text1"/>
        </w:rPr>
        <w:t>1.1</w:t>
      </w:r>
      <w:r>
        <w:rPr>
          <w:rFonts w:hint="eastAsia"/>
          <w:color w:val="000000" w:themeColor="text1"/>
        </w:rPr>
        <w:t>个百分点，占出口比重</w:t>
      </w:r>
      <w:r>
        <w:rPr>
          <w:rFonts w:hint="eastAsia"/>
          <w:color w:val="000000" w:themeColor="text1"/>
        </w:rPr>
        <w:t>73.9%</w:t>
      </w:r>
      <w:r>
        <w:rPr>
          <w:rFonts w:hint="eastAsia"/>
          <w:color w:val="000000" w:themeColor="text1"/>
        </w:rPr>
        <w:t>；外贸企业出口</w:t>
      </w:r>
      <w:r>
        <w:rPr>
          <w:rFonts w:hint="eastAsia"/>
          <w:color w:val="000000" w:themeColor="text1"/>
        </w:rPr>
        <w:t>268.9</w:t>
      </w:r>
      <w:r>
        <w:rPr>
          <w:rFonts w:hint="eastAsia"/>
          <w:color w:val="000000" w:themeColor="text1"/>
        </w:rPr>
        <w:t>亿元，同比增长</w:t>
      </w:r>
      <w:r>
        <w:rPr>
          <w:rFonts w:hint="eastAsia"/>
          <w:color w:val="000000" w:themeColor="text1"/>
        </w:rPr>
        <w:t>11.8%</w:t>
      </w:r>
      <w:r>
        <w:rPr>
          <w:rFonts w:hint="eastAsia"/>
          <w:color w:val="000000" w:themeColor="text1"/>
        </w:rPr>
        <w:t>，占出口比重</w:t>
      </w:r>
      <w:r>
        <w:rPr>
          <w:rFonts w:hint="eastAsia"/>
          <w:color w:val="000000" w:themeColor="text1"/>
        </w:rPr>
        <w:t>17.5%</w:t>
      </w:r>
      <w:r>
        <w:rPr>
          <w:rFonts w:hint="eastAsia"/>
          <w:color w:val="000000" w:themeColor="text1"/>
        </w:rPr>
        <w:t>；三资企业出口</w:t>
      </w:r>
      <w:r>
        <w:rPr>
          <w:rFonts w:hint="eastAsia"/>
          <w:color w:val="000000" w:themeColor="text1"/>
        </w:rPr>
        <w:t>131.9</w:t>
      </w:r>
      <w:r>
        <w:rPr>
          <w:rFonts w:hint="eastAsia"/>
          <w:color w:val="000000" w:themeColor="text1"/>
        </w:rPr>
        <w:t>亿元，同比增长</w:t>
      </w:r>
      <w:r>
        <w:rPr>
          <w:rFonts w:hint="eastAsia"/>
          <w:color w:val="000000" w:themeColor="text1"/>
        </w:rPr>
        <w:t>2.1%</w:t>
      </w:r>
      <w:r>
        <w:rPr>
          <w:rFonts w:hint="eastAsia"/>
          <w:color w:val="000000" w:themeColor="text1"/>
        </w:rPr>
        <w:t>，占出口比重</w:t>
      </w:r>
      <w:r>
        <w:rPr>
          <w:color w:val="000000" w:themeColor="text1"/>
        </w:rPr>
        <w:t>8.</w:t>
      </w:r>
      <w:r>
        <w:rPr>
          <w:rFonts w:hint="eastAsia"/>
          <w:color w:val="000000" w:themeColor="text1"/>
        </w:rPr>
        <w:t>6%</w:t>
      </w:r>
      <w:r>
        <w:rPr>
          <w:rFonts w:hint="eastAsia"/>
          <w:color w:val="000000" w:themeColor="text1"/>
        </w:rPr>
        <w:t>。</w:t>
      </w:r>
      <w:r w:rsidRPr="00F53490">
        <w:rPr>
          <w:rFonts w:hint="eastAsia"/>
          <w:color w:val="000000" w:themeColor="text1"/>
        </w:rPr>
        <w:t>全市民营企业出口占主导地位，出口</w:t>
      </w:r>
      <w:r>
        <w:rPr>
          <w:rFonts w:hint="eastAsia"/>
          <w:color w:val="000000" w:themeColor="text1"/>
        </w:rPr>
        <w:t>1317.3</w:t>
      </w:r>
      <w:r w:rsidRPr="00F53490">
        <w:rPr>
          <w:rFonts w:hint="eastAsia"/>
          <w:color w:val="000000" w:themeColor="text1"/>
        </w:rPr>
        <w:t>亿元，同比增长</w:t>
      </w:r>
      <w:r>
        <w:rPr>
          <w:rFonts w:hint="eastAsia"/>
          <w:color w:val="000000" w:themeColor="text1"/>
        </w:rPr>
        <w:t>8.4</w:t>
      </w:r>
      <w:r w:rsidRPr="00F53490">
        <w:rPr>
          <w:color w:val="000000" w:themeColor="text1"/>
        </w:rPr>
        <w:t>%</w:t>
      </w:r>
      <w:r w:rsidRPr="00F53490">
        <w:rPr>
          <w:rFonts w:hint="eastAsia"/>
          <w:color w:val="000000" w:themeColor="text1"/>
        </w:rPr>
        <w:t>，占比</w:t>
      </w:r>
      <w:r>
        <w:rPr>
          <w:rFonts w:hint="eastAsia"/>
          <w:color w:val="000000" w:themeColor="text1"/>
        </w:rPr>
        <w:t>85.7</w:t>
      </w:r>
      <w:r w:rsidRPr="00F53490">
        <w:rPr>
          <w:color w:val="000000" w:themeColor="text1"/>
        </w:rPr>
        <w:t>%</w:t>
      </w:r>
      <w:r w:rsidRPr="00F53490">
        <w:rPr>
          <w:rFonts w:hint="eastAsia"/>
          <w:color w:val="000000" w:themeColor="text1"/>
        </w:rPr>
        <w:t>。</w:t>
      </w:r>
    </w:p>
    <w:p w:rsidR="008D2F4E" w:rsidRDefault="008D2F4E" w:rsidP="008D2F4E">
      <w:pPr>
        <w:spacing w:before="100" w:beforeAutospacing="1" w:after="100" w:afterAutospacing="1"/>
        <w:ind w:firstLineChars="200" w:firstLine="420"/>
        <w:rPr>
          <w:color w:val="000000" w:themeColor="text1"/>
        </w:rPr>
      </w:pPr>
      <w:r w:rsidRPr="00667457">
        <w:rPr>
          <w:rFonts w:ascii="楷体_GB2312" w:eastAsia="楷体_GB2312" w:hint="eastAsia"/>
          <w:color w:val="000000" w:themeColor="text1"/>
        </w:rPr>
        <w:lastRenderedPageBreak/>
        <w:t>欧美和“一带一路”市场增势</w:t>
      </w:r>
      <w:r>
        <w:rPr>
          <w:rFonts w:ascii="楷体_GB2312" w:eastAsia="楷体_GB2312" w:hint="eastAsia"/>
          <w:color w:val="000000" w:themeColor="text1"/>
        </w:rPr>
        <w:t>平稳</w:t>
      </w:r>
      <w:r w:rsidRPr="00667457">
        <w:rPr>
          <w:rFonts w:ascii="楷体_GB2312" w:eastAsia="楷体_GB2312" w:hint="eastAsia"/>
          <w:color w:val="000000" w:themeColor="text1"/>
        </w:rPr>
        <w:t>。</w:t>
      </w:r>
      <w:r>
        <w:rPr>
          <w:rFonts w:hint="eastAsia"/>
          <w:color w:val="000000" w:themeColor="text1"/>
        </w:rPr>
        <w:t>1-12</w:t>
      </w:r>
      <w:r>
        <w:rPr>
          <w:rFonts w:hint="eastAsia"/>
          <w:color w:val="000000" w:themeColor="text1"/>
        </w:rPr>
        <w:t>月份，出口欧洲和北美占全市出口总额的</w:t>
      </w:r>
      <w:r>
        <w:rPr>
          <w:rFonts w:hint="eastAsia"/>
          <w:color w:val="000000" w:themeColor="text1"/>
        </w:rPr>
        <w:t>54.7%</w:t>
      </w:r>
      <w:r>
        <w:rPr>
          <w:rFonts w:hint="eastAsia"/>
          <w:color w:val="000000" w:themeColor="text1"/>
        </w:rPr>
        <w:t>，其中对欧洲出口</w:t>
      </w:r>
      <w:r>
        <w:rPr>
          <w:rFonts w:hint="eastAsia"/>
          <w:color w:val="000000" w:themeColor="text1"/>
        </w:rPr>
        <w:t>484.7</w:t>
      </w:r>
      <w:r>
        <w:rPr>
          <w:rFonts w:hint="eastAsia"/>
          <w:color w:val="000000" w:themeColor="text1"/>
        </w:rPr>
        <w:t>亿元，同比增长</w:t>
      </w:r>
      <w:r>
        <w:rPr>
          <w:rFonts w:hint="eastAsia"/>
          <w:color w:val="000000" w:themeColor="text1"/>
        </w:rPr>
        <w:t>11.3%</w:t>
      </w:r>
      <w:r>
        <w:rPr>
          <w:rFonts w:hint="eastAsia"/>
          <w:color w:val="000000" w:themeColor="text1"/>
        </w:rPr>
        <w:t>，</w:t>
      </w:r>
      <w:r>
        <w:rPr>
          <w:color w:val="000000" w:themeColor="text1"/>
        </w:rPr>
        <w:t>比重为</w:t>
      </w:r>
      <w:r>
        <w:rPr>
          <w:rFonts w:hint="eastAsia"/>
          <w:color w:val="000000" w:themeColor="text1"/>
        </w:rPr>
        <w:t>31.5</w:t>
      </w:r>
      <w:r>
        <w:rPr>
          <w:color w:val="000000" w:themeColor="text1"/>
        </w:rPr>
        <w:t>%</w:t>
      </w:r>
      <w:r>
        <w:rPr>
          <w:rFonts w:hint="eastAsia"/>
          <w:color w:val="000000" w:themeColor="text1"/>
        </w:rPr>
        <w:t>；对北美洲出口</w:t>
      </w:r>
      <w:r>
        <w:rPr>
          <w:rFonts w:hint="eastAsia"/>
          <w:color w:val="000000" w:themeColor="text1"/>
        </w:rPr>
        <w:t>357.2</w:t>
      </w:r>
      <w:r>
        <w:rPr>
          <w:rFonts w:hint="eastAsia"/>
          <w:color w:val="000000" w:themeColor="text1"/>
        </w:rPr>
        <w:t>亿元，同比增长</w:t>
      </w:r>
      <w:r>
        <w:rPr>
          <w:rFonts w:hint="eastAsia"/>
          <w:color w:val="000000" w:themeColor="text1"/>
        </w:rPr>
        <w:t>14.2%</w:t>
      </w:r>
      <w:r>
        <w:rPr>
          <w:rFonts w:hint="eastAsia"/>
          <w:color w:val="000000" w:themeColor="text1"/>
        </w:rPr>
        <w:t>，高于全市平均</w:t>
      </w:r>
      <w:r>
        <w:rPr>
          <w:rFonts w:hint="eastAsia"/>
          <w:color w:val="000000" w:themeColor="text1"/>
        </w:rPr>
        <w:t>2.7</w:t>
      </w:r>
      <w:r>
        <w:rPr>
          <w:rFonts w:hint="eastAsia"/>
          <w:color w:val="000000" w:themeColor="text1"/>
        </w:rPr>
        <w:t>个百分点。</w:t>
      </w:r>
      <w:r>
        <w:rPr>
          <w:rFonts w:hint="eastAsia"/>
          <w:color w:val="000000" w:themeColor="text1"/>
        </w:rPr>
        <w:t>1-12</w:t>
      </w:r>
      <w:r>
        <w:rPr>
          <w:rFonts w:hint="eastAsia"/>
          <w:color w:val="000000" w:themeColor="text1"/>
        </w:rPr>
        <w:t>月份，对欧盟出口</w:t>
      </w:r>
      <w:r>
        <w:rPr>
          <w:rFonts w:hint="eastAsia"/>
          <w:color w:val="000000" w:themeColor="text1"/>
        </w:rPr>
        <w:t>399.7</w:t>
      </w:r>
      <w:r>
        <w:rPr>
          <w:rFonts w:hint="eastAsia"/>
          <w:color w:val="000000" w:themeColor="text1"/>
        </w:rPr>
        <w:t>亿元，同比增长</w:t>
      </w:r>
      <w:r>
        <w:rPr>
          <w:rFonts w:hint="eastAsia"/>
          <w:color w:val="000000" w:themeColor="text1"/>
        </w:rPr>
        <w:t>10.7%</w:t>
      </w:r>
      <w:r>
        <w:rPr>
          <w:rFonts w:hint="eastAsia"/>
          <w:color w:val="000000" w:themeColor="text1"/>
        </w:rPr>
        <w:t>，比重</w:t>
      </w:r>
      <w:r>
        <w:rPr>
          <w:rFonts w:hint="eastAsia"/>
          <w:color w:val="000000" w:themeColor="text1"/>
        </w:rPr>
        <w:t>26.0%</w:t>
      </w:r>
      <w:r>
        <w:rPr>
          <w:rFonts w:hint="eastAsia"/>
          <w:color w:val="000000" w:themeColor="text1"/>
        </w:rPr>
        <w:t>；对美国出口</w:t>
      </w:r>
      <w:r>
        <w:rPr>
          <w:rFonts w:hint="eastAsia"/>
          <w:color w:val="000000" w:themeColor="text1"/>
        </w:rPr>
        <w:t>318.8</w:t>
      </w:r>
      <w:r>
        <w:rPr>
          <w:rFonts w:hint="eastAsia"/>
          <w:color w:val="000000" w:themeColor="text1"/>
        </w:rPr>
        <w:t>亿元，同比增长</w:t>
      </w:r>
      <w:r>
        <w:rPr>
          <w:rFonts w:hint="eastAsia"/>
          <w:color w:val="000000" w:themeColor="text1"/>
        </w:rPr>
        <w:t>14.7%</w:t>
      </w:r>
      <w:r>
        <w:rPr>
          <w:rFonts w:hint="eastAsia"/>
          <w:color w:val="000000" w:themeColor="text1"/>
        </w:rPr>
        <w:t>，高于全市平均</w:t>
      </w:r>
      <w:r>
        <w:rPr>
          <w:rFonts w:hint="eastAsia"/>
          <w:color w:val="000000" w:themeColor="text1"/>
        </w:rPr>
        <w:t>3.2</w:t>
      </w:r>
      <w:r>
        <w:rPr>
          <w:rFonts w:hint="eastAsia"/>
          <w:color w:val="000000" w:themeColor="text1"/>
        </w:rPr>
        <w:t>个百分点，比重</w:t>
      </w:r>
      <w:r>
        <w:rPr>
          <w:rFonts w:hint="eastAsia"/>
          <w:color w:val="000000" w:themeColor="text1"/>
        </w:rPr>
        <w:t>20.7%</w:t>
      </w:r>
      <w:r>
        <w:rPr>
          <w:rFonts w:hint="eastAsia"/>
          <w:color w:val="000000" w:themeColor="text1"/>
        </w:rPr>
        <w:t>，这两大市场占全市出口比重高达</w:t>
      </w:r>
      <w:r>
        <w:rPr>
          <w:rFonts w:hint="eastAsia"/>
          <w:color w:val="000000" w:themeColor="text1"/>
        </w:rPr>
        <w:t>46.7%</w:t>
      </w:r>
      <w:r>
        <w:rPr>
          <w:rFonts w:hint="eastAsia"/>
          <w:color w:val="000000" w:themeColor="text1"/>
        </w:rPr>
        <w:t>。全市出口前</w:t>
      </w:r>
      <w:r>
        <w:rPr>
          <w:rFonts w:hint="eastAsia"/>
          <w:color w:val="000000" w:themeColor="text1"/>
        </w:rPr>
        <w:t>10</w:t>
      </w:r>
      <w:r>
        <w:rPr>
          <w:rFonts w:hint="eastAsia"/>
          <w:color w:val="000000" w:themeColor="text1"/>
        </w:rPr>
        <w:t>位的国家和</w:t>
      </w:r>
      <w:r>
        <w:rPr>
          <w:color w:val="000000" w:themeColor="text1"/>
        </w:rPr>
        <w:t>地区</w:t>
      </w:r>
      <w:r>
        <w:rPr>
          <w:rFonts w:hint="eastAsia"/>
          <w:color w:val="000000" w:themeColor="text1"/>
        </w:rPr>
        <w:t>全部实现正增长，其中有</w:t>
      </w:r>
      <w:r>
        <w:rPr>
          <w:rFonts w:hint="eastAsia"/>
          <w:color w:val="000000" w:themeColor="text1"/>
        </w:rPr>
        <w:t>5</w:t>
      </w:r>
      <w:r>
        <w:rPr>
          <w:rFonts w:hint="eastAsia"/>
          <w:color w:val="000000" w:themeColor="text1"/>
        </w:rPr>
        <w:t>个国家和地区实现两位数正增长，分别是规模列第一美国增长</w:t>
      </w:r>
      <w:r>
        <w:rPr>
          <w:rFonts w:hint="eastAsia"/>
          <w:color w:val="000000" w:themeColor="text1"/>
        </w:rPr>
        <w:t>14.7%</w:t>
      </w:r>
      <w:r>
        <w:rPr>
          <w:rFonts w:hint="eastAsia"/>
          <w:color w:val="000000" w:themeColor="text1"/>
        </w:rPr>
        <w:t>、第三印度增长</w:t>
      </w:r>
      <w:r>
        <w:rPr>
          <w:rFonts w:hint="eastAsia"/>
          <w:color w:val="000000" w:themeColor="text1"/>
        </w:rPr>
        <w:t>15.1%</w:t>
      </w:r>
      <w:r>
        <w:rPr>
          <w:rFonts w:hint="eastAsia"/>
          <w:color w:val="000000" w:themeColor="text1"/>
        </w:rPr>
        <w:t>、第五俄罗斯增长</w:t>
      </w:r>
      <w:r>
        <w:rPr>
          <w:rFonts w:hint="eastAsia"/>
          <w:color w:val="000000" w:themeColor="text1"/>
        </w:rPr>
        <w:t>11.7%</w:t>
      </w:r>
      <w:r>
        <w:rPr>
          <w:rFonts w:hint="eastAsia"/>
          <w:color w:val="000000" w:themeColor="text1"/>
        </w:rPr>
        <w:t>、第六墨西哥增长</w:t>
      </w:r>
      <w:r>
        <w:rPr>
          <w:rFonts w:hint="eastAsia"/>
          <w:color w:val="000000" w:themeColor="text1"/>
        </w:rPr>
        <w:t>17.7%</w:t>
      </w:r>
      <w:r>
        <w:rPr>
          <w:rFonts w:hint="eastAsia"/>
          <w:color w:val="000000" w:themeColor="text1"/>
        </w:rPr>
        <w:t>、第九加拿大增长</w:t>
      </w:r>
      <w:r>
        <w:rPr>
          <w:rFonts w:hint="eastAsia"/>
          <w:color w:val="000000" w:themeColor="text1"/>
        </w:rPr>
        <w:t>10.8%</w:t>
      </w:r>
      <w:r>
        <w:rPr>
          <w:rFonts w:hint="eastAsia"/>
          <w:color w:val="000000" w:themeColor="text1"/>
        </w:rPr>
        <w:t>。</w:t>
      </w:r>
      <w:r>
        <w:rPr>
          <w:rFonts w:hint="eastAsia"/>
          <w:color w:val="000000" w:themeColor="text1"/>
        </w:rPr>
        <w:t>1-12</w:t>
      </w:r>
      <w:r w:rsidRPr="008455DD">
        <w:rPr>
          <w:rFonts w:hint="eastAsia"/>
          <w:color w:val="000000" w:themeColor="text1"/>
        </w:rPr>
        <w:t>月</w:t>
      </w:r>
      <w:r>
        <w:rPr>
          <w:rFonts w:hint="eastAsia"/>
          <w:color w:val="000000" w:themeColor="text1"/>
        </w:rPr>
        <w:t>份</w:t>
      </w:r>
      <w:r w:rsidRPr="008455DD">
        <w:rPr>
          <w:rFonts w:hint="eastAsia"/>
          <w:color w:val="000000" w:themeColor="text1"/>
        </w:rPr>
        <w:t>，对“一带一路”沿线国家出口</w:t>
      </w:r>
      <w:r>
        <w:rPr>
          <w:rFonts w:hint="eastAsia"/>
          <w:color w:val="000000" w:themeColor="text1"/>
        </w:rPr>
        <w:t>545.7</w:t>
      </w:r>
      <w:r w:rsidRPr="008455DD">
        <w:rPr>
          <w:rFonts w:hint="eastAsia"/>
          <w:color w:val="000000" w:themeColor="text1"/>
        </w:rPr>
        <w:t>亿元，同比增长</w:t>
      </w:r>
      <w:r>
        <w:rPr>
          <w:rFonts w:hint="eastAsia"/>
          <w:color w:val="000000" w:themeColor="text1"/>
        </w:rPr>
        <w:t>10.4</w:t>
      </w:r>
      <w:r w:rsidRPr="008455DD">
        <w:rPr>
          <w:rFonts w:hint="eastAsia"/>
          <w:color w:val="000000" w:themeColor="text1"/>
        </w:rPr>
        <w:t>%</w:t>
      </w:r>
      <w:r w:rsidRPr="008455DD">
        <w:rPr>
          <w:rFonts w:hint="eastAsia"/>
          <w:color w:val="000000" w:themeColor="text1"/>
        </w:rPr>
        <w:t>，占全市出口</w:t>
      </w:r>
      <w:r>
        <w:rPr>
          <w:rFonts w:hint="eastAsia"/>
          <w:color w:val="000000" w:themeColor="text1"/>
        </w:rPr>
        <w:t>35.5</w:t>
      </w:r>
      <w:r w:rsidRPr="008455DD">
        <w:rPr>
          <w:rFonts w:hint="eastAsia"/>
          <w:color w:val="000000" w:themeColor="text1"/>
        </w:rPr>
        <w:t>%</w:t>
      </w:r>
      <w:r w:rsidRPr="008455DD">
        <w:rPr>
          <w:rFonts w:hint="eastAsia"/>
          <w:color w:val="000000" w:themeColor="text1"/>
        </w:rPr>
        <w:t>。</w:t>
      </w:r>
    </w:p>
    <w:p w:rsidR="008D2F4E" w:rsidRDefault="008D2F4E" w:rsidP="008D2F4E">
      <w:pPr>
        <w:spacing w:before="100" w:beforeAutospacing="1" w:after="100" w:afterAutospacing="1"/>
        <w:ind w:firstLineChars="200" w:firstLine="420"/>
        <w:rPr>
          <w:color w:val="000000" w:themeColor="text1"/>
        </w:rPr>
      </w:pPr>
      <w:r w:rsidRPr="00667457">
        <w:rPr>
          <w:rFonts w:ascii="楷体_GB2312" w:eastAsia="楷体_GB2312" w:hint="eastAsia"/>
          <w:color w:val="000000" w:themeColor="text1"/>
        </w:rPr>
        <w:t>新兴市场出口表现不一。</w:t>
      </w:r>
      <w:r>
        <w:rPr>
          <w:rFonts w:hint="eastAsia"/>
          <w:color w:val="000000" w:themeColor="text1"/>
        </w:rPr>
        <w:t>1-12</w:t>
      </w:r>
      <w:r>
        <w:rPr>
          <w:rFonts w:hint="eastAsia"/>
          <w:color w:val="000000" w:themeColor="text1"/>
        </w:rPr>
        <w:t>月份，新兴市场中</w:t>
      </w:r>
      <w:r>
        <w:rPr>
          <w:color w:val="000000" w:themeColor="text1"/>
        </w:rPr>
        <w:t>的中东同比增</w:t>
      </w:r>
      <w:r>
        <w:rPr>
          <w:rFonts w:hint="eastAsia"/>
          <w:color w:val="000000" w:themeColor="text1"/>
        </w:rPr>
        <w:t>长</w:t>
      </w:r>
      <w:r>
        <w:rPr>
          <w:rFonts w:hint="eastAsia"/>
          <w:color w:val="000000" w:themeColor="text1"/>
        </w:rPr>
        <w:t>-8.4</w:t>
      </w:r>
      <w:r>
        <w:rPr>
          <w:color w:val="000000" w:themeColor="text1"/>
        </w:rPr>
        <w:t>%</w:t>
      </w:r>
      <w:r>
        <w:rPr>
          <w:rFonts w:hint="eastAsia"/>
          <w:color w:val="000000" w:themeColor="text1"/>
        </w:rPr>
        <w:t>，</w:t>
      </w:r>
      <w:r>
        <w:rPr>
          <w:color w:val="000000" w:themeColor="text1"/>
        </w:rPr>
        <w:t>拉美和非洲分别增长</w:t>
      </w:r>
      <w:r>
        <w:rPr>
          <w:rFonts w:hint="eastAsia"/>
          <w:color w:val="000000" w:themeColor="text1"/>
        </w:rPr>
        <w:t>13.7%</w:t>
      </w:r>
      <w:r>
        <w:rPr>
          <w:color w:val="000000" w:themeColor="text1"/>
        </w:rPr>
        <w:t>和</w:t>
      </w:r>
      <w:r>
        <w:rPr>
          <w:rFonts w:hint="eastAsia"/>
          <w:color w:val="000000" w:themeColor="text1"/>
        </w:rPr>
        <w:t>12.1</w:t>
      </w:r>
      <w:r>
        <w:rPr>
          <w:color w:val="000000" w:themeColor="text1"/>
        </w:rPr>
        <w:t>%</w:t>
      </w:r>
      <w:r>
        <w:rPr>
          <w:rFonts w:hint="eastAsia"/>
          <w:color w:val="000000" w:themeColor="text1"/>
        </w:rPr>
        <w:t>，</w:t>
      </w:r>
      <w:r>
        <w:rPr>
          <w:color w:val="000000" w:themeColor="text1"/>
        </w:rPr>
        <w:t>台州对独联体同比增长</w:t>
      </w:r>
      <w:r>
        <w:rPr>
          <w:rFonts w:hint="eastAsia"/>
          <w:color w:val="000000" w:themeColor="text1"/>
        </w:rPr>
        <w:t>13.1</w:t>
      </w:r>
      <w:r>
        <w:rPr>
          <w:color w:val="000000" w:themeColor="text1"/>
        </w:rPr>
        <w:t>%</w:t>
      </w:r>
      <w:r>
        <w:rPr>
          <w:color w:val="000000" w:themeColor="text1"/>
        </w:rPr>
        <w:t>。</w:t>
      </w:r>
    </w:p>
    <w:p w:rsidR="008D2F4E" w:rsidRPr="005E2778" w:rsidRDefault="008D2F4E" w:rsidP="008D2F4E">
      <w:pPr>
        <w:spacing w:before="100" w:beforeAutospacing="1" w:after="100" w:afterAutospacing="1"/>
        <w:ind w:firstLineChars="200" w:firstLine="420"/>
        <w:rPr>
          <w:color w:val="000000" w:themeColor="text1"/>
        </w:rPr>
      </w:pPr>
      <w:r w:rsidRPr="005E2778">
        <w:rPr>
          <w:rFonts w:hint="eastAsia"/>
          <w:color w:val="000000" w:themeColor="text1"/>
        </w:rPr>
        <w:t>1-12</w:t>
      </w:r>
      <w:r w:rsidRPr="005E2778">
        <w:rPr>
          <w:rFonts w:hint="eastAsia"/>
          <w:color w:val="000000" w:themeColor="text1"/>
        </w:rPr>
        <w:t>月份，全市进出口国家和地区为</w:t>
      </w:r>
      <w:r w:rsidRPr="005E2778">
        <w:rPr>
          <w:rFonts w:hint="eastAsia"/>
          <w:color w:val="000000" w:themeColor="text1"/>
        </w:rPr>
        <w:t>225</w:t>
      </w:r>
      <w:r w:rsidRPr="005E2778">
        <w:rPr>
          <w:rFonts w:hint="eastAsia"/>
          <w:color w:val="000000" w:themeColor="text1"/>
        </w:rPr>
        <w:t>个，同比减少</w:t>
      </w:r>
      <w:r w:rsidRPr="005E2778">
        <w:rPr>
          <w:rFonts w:hint="eastAsia"/>
          <w:color w:val="000000" w:themeColor="text1"/>
        </w:rPr>
        <w:t>2</w:t>
      </w:r>
      <w:r w:rsidRPr="005E2778">
        <w:rPr>
          <w:rFonts w:hint="eastAsia"/>
          <w:color w:val="000000" w:themeColor="text1"/>
        </w:rPr>
        <w:t>个；出口国家和地区为</w:t>
      </w:r>
      <w:r w:rsidRPr="005E2778">
        <w:rPr>
          <w:rFonts w:hint="eastAsia"/>
          <w:color w:val="000000" w:themeColor="text1"/>
        </w:rPr>
        <w:t>222</w:t>
      </w:r>
      <w:r w:rsidRPr="005E2778">
        <w:rPr>
          <w:rFonts w:hint="eastAsia"/>
          <w:color w:val="000000" w:themeColor="text1"/>
        </w:rPr>
        <w:t>个，同比减少</w:t>
      </w:r>
      <w:r w:rsidRPr="005E2778">
        <w:rPr>
          <w:rFonts w:hint="eastAsia"/>
          <w:color w:val="000000" w:themeColor="text1"/>
        </w:rPr>
        <w:t>4</w:t>
      </w:r>
      <w:r w:rsidRPr="005E2778">
        <w:rPr>
          <w:rFonts w:hint="eastAsia"/>
          <w:color w:val="000000" w:themeColor="text1"/>
        </w:rPr>
        <w:t>个；进口国家和地区为</w:t>
      </w:r>
      <w:r w:rsidRPr="005E2778">
        <w:rPr>
          <w:rFonts w:hint="eastAsia"/>
          <w:color w:val="000000" w:themeColor="text1"/>
        </w:rPr>
        <w:t>136</w:t>
      </w:r>
      <w:r w:rsidRPr="005E2778">
        <w:rPr>
          <w:rFonts w:hint="eastAsia"/>
          <w:color w:val="000000" w:themeColor="text1"/>
        </w:rPr>
        <w:t>个</w:t>
      </w:r>
      <w:r>
        <w:rPr>
          <w:rFonts w:hint="eastAsia"/>
          <w:color w:val="000000" w:themeColor="text1"/>
        </w:rPr>
        <w:t>，</w:t>
      </w:r>
      <w:r w:rsidRPr="005E2778">
        <w:rPr>
          <w:rFonts w:hint="eastAsia"/>
          <w:color w:val="000000" w:themeColor="text1"/>
        </w:rPr>
        <w:t>同比减少</w:t>
      </w:r>
      <w:r w:rsidRPr="005E2778">
        <w:rPr>
          <w:rFonts w:hint="eastAsia"/>
          <w:color w:val="000000" w:themeColor="text1"/>
        </w:rPr>
        <w:t>8</w:t>
      </w:r>
      <w:r w:rsidRPr="005E2778">
        <w:rPr>
          <w:rFonts w:hint="eastAsia"/>
          <w:color w:val="000000" w:themeColor="text1"/>
        </w:rPr>
        <w:t>个。</w:t>
      </w:r>
    </w:p>
    <w:p w:rsidR="008D2F4E" w:rsidRPr="000B1DBD" w:rsidRDefault="008D2F4E" w:rsidP="008D2F4E">
      <w:pPr>
        <w:spacing w:before="100" w:beforeAutospacing="1" w:after="100" w:afterAutospacing="1"/>
        <w:ind w:firstLineChars="200" w:firstLine="420"/>
        <w:rPr>
          <w:rFonts w:ascii="楷体_GB2312" w:eastAsia="楷体_GB2312"/>
          <w:color w:val="000000" w:themeColor="text1"/>
        </w:rPr>
      </w:pPr>
      <w:r w:rsidRPr="000B1DBD">
        <w:rPr>
          <w:rFonts w:ascii="楷体_GB2312" w:eastAsia="楷体_GB2312" w:hint="eastAsia"/>
          <w:color w:val="000000" w:themeColor="text1"/>
        </w:rPr>
        <w:t>机电产品和</w:t>
      </w:r>
      <w:r w:rsidRPr="000B1DBD">
        <w:rPr>
          <w:rFonts w:ascii="楷体_GB2312" w:eastAsia="楷体_GB2312"/>
          <w:color w:val="000000" w:themeColor="text1"/>
        </w:rPr>
        <w:t>高新技术产品</w:t>
      </w:r>
      <w:r w:rsidRPr="000B1DBD">
        <w:rPr>
          <w:rFonts w:ascii="楷体_GB2312" w:eastAsia="楷体_GB2312" w:hint="eastAsia"/>
          <w:color w:val="000000" w:themeColor="text1"/>
        </w:rPr>
        <w:t>增长较快。</w:t>
      </w:r>
      <w:r w:rsidRPr="000B1DBD">
        <w:rPr>
          <w:rFonts w:hint="eastAsia"/>
          <w:color w:val="000000" w:themeColor="text1"/>
        </w:rPr>
        <w:t>1-12</w:t>
      </w:r>
      <w:r w:rsidRPr="000B1DBD">
        <w:rPr>
          <w:rFonts w:hint="eastAsia"/>
          <w:color w:val="000000" w:themeColor="text1"/>
        </w:rPr>
        <w:t>月份，机电产品出口</w:t>
      </w:r>
      <w:r w:rsidRPr="000B1DBD">
        <w:rPr>
          <w:rFonts w:hint="eastAsia"/>
          <w:color w:val="000000" w:themeColor="text1"/>
        </w:rPr>
        <w:t>873.9</w:t>
      </w:r>
      <w:r w:rsidRPr="000B1DBD">
        <w:rPr>
          <w:rFonts w:hint="eastAsia"/>
          <w:color w:val="000000" w:themeColor="text1"/>
        </w:rPr>
        <w:t>亿元，同比增长</w:t>
      </w:r>
      <w:r w:rsidRPr="000B1DBD">
        <w:rPr>
          <w:rFonts w:hint="eastAsia"/>
          <w:color w:val="000000" w:themeColor="text1"/>
        </w:rPr>
        <w:t>13.4%</w:t>
      </w:r>
      <w:r w:rsidRPr="000B1DBD">
        <w:rPr>
          <w:rFonts w:hint="eastAsia"/>
          <w:color w:val="000000" w:themeColor="text1"/>
        </w:rPr>
        <w:t>，高于全市</w:t>
      </w:r>
      <w:r w:rsidRPr="000B1DBD">
        <w:rPr>
          <w:color w:val="000000" w:themeColor="text1"/>
        </w:rPr>
        <w:t>平均</w:t>
      </w:r>
      <w:r w:rsidRPr="000B1DBD">
        <w:rPr>
          <w:rFonts w:hint="eastAsia"/>
          <w:color w:val="000000" w:themeColor="text1"/>
        </w:rPr>
        <w:t>1.9</w:t>
      </w:r>
      <w:r w:rsidRPr="000B1DBD">
        <w:rPr>
          <w:rFonts w:hint="eastAsia"/>
          <w:color w:val="000000" w:themeColor="text1"/>
        </w:rPr>
        <w:t>个</w:t>
      </w:r>
      <w:r w:rsidRPr="000B1DBD">
        <w:rPr>
          <w:color w:val="000000" w:themeColor="text1"/>
        </w:rPr>
        <w:t>百分点</w:t>
      </w:r>
      <w:r w:rsidRPr="000B1DBD">
        <w:rPr>
          <w:rFonts w:hint="eastAsia"/>
          <w:color w:val="000000" w:themeColor="text1"/>
        </w:rPr>
        <w:t>，占出口比重</w:t>
      </w:r>
      <w:r w:rsidRPr="000B1DBD">
        <w:rPr>
          <w:rFonts w:hint="eastAsia"/>
          <w:color w:val="000000" w:themeColor="text1"/>
        </w:rPr>
        <w:t>56.8%</w:t>
      </w:r>
      <w:r w:rsidRPr="000B1DBD">
        <w:rPr>
          <w:rFonts w:hint="eastAsia"/>
          <w:color w:val="000000" w:themeColor="text1"/>
        </w:rPr>
        <w:t>。高新技术产品出口</w:t>
      </w:r>
      <w:r w:rsidRPr="000B1DBD">
        <w:rPr>
          <w:rFonts w:hint="eastAsia"/>
          <w:color w:val="000000" w:themeColor="text1"/>
        </w:rPr>
        <w:t>96.5</w:t>
      </w:r>
      <w:r w:rsidRPr="000B1DBD">
        <w:rPr>
          <w:rFonts w:hint="eastAsia"/>
          <w:color w:val="000000" w:themeColor="text1"/>
        </w:rPr>
        <w:t>亿元，同比增长</w:t>
      </w:r>
      <w:r w:rsidRPr="000B1DBD">
        <w:rPr>
          <w:rFonts w:hint="eastAsia"/>
          <w:color w:val="000000" w:themeColor="text1"/>
        </w:rPr>
        <w:t>15.2%</w:t>
      </w:r>
      <w:r w:rsidRPr="000B1DBD">
        <w:rPr>
          <w:rFonts w:hint="eastAsia"/>
          <w:color w:val="000000" w:themeColor="text1"/>
        </w:rPr>
        <w:t>，高于全市平均</w:t>
      </w:r>
      <w:r w:rsidRPr="000B1DBD">
        <w:rPr>
          <w:rFonts w:hint="eastAsia"/>
          <w:color w:val="000000" w:themeColor="text1"/>
        </w:rPr>
        <w:t>3.7</w:t>
      </w:r>
      <w:r w:rsidRPr="000B1DBD">
        <w:rPr>
          <w:rFonts w:hint="eastAsia"/>
          <w:color w:val="000000" w:themeColor="text1"/>
        </w:rPr>
        <w:t>个百分点。</w:t>
      </w:r>
    </w:p>
    <w:p w:rsidR="008D2F4E" w:rsidRPr="000B1DBD" w:rsidRDefault="008D2F4E" w:rsidP="008D2F4E">
      <w:pPr>
        <w:spacing w:before="100" w:beforeAutospacing="1" w:after="100" w:afterAutospacing="1"/>
        <w:ind w:firstLineChars="200" w:firstLine="420"/>
        <w:rPr>
          <w:color w:val="000000" w:themeColor="text1"/>
        </w:rPr>
      </w:pPr>
      <w:r w:rsidRPr="000B1DBD">
        <w:rPr>
          <w:rFonts w:ascii="楷体_GB2312" w:eastAsia="楷体_GB2312" w:hint="eastAsia"/>
          <w:color w:val="000000" w:themeColor="text1"/>
        </w:rPr>
        <w:t>出口前10位商品呈正增长。</w:t>
      </w:r>
      <w:r w:rsidRPr="000B1DBD">
        <w:rPr>
          <w:rFonts w:hint="eastAsia"/>
          <w:color w:val="000000" w:themeColor="text1"/>
        </w:rPr>
        <w:t>1-12</w:t>
      </w:r>
      <w:r w:rsidRPr="000B1DBD">
        <w:rPr>
          <w:rFonts w:hint="eastAsia"/>
          <w:color w:val="000000" w:themeColor="text1"/>
        </w:rPr>
        <w:t>月份，按出口额规模，</w:t>
      </w:r>
      <w:proofErr w:type="gramStart"/>
      <w:r w:rsidRPr="000B1DBD">
        <w:rPr>
          <w:rFonts w:hint="eastAsia"/>
          <w:color w:val="000000" w:themeColor="text1"/>
        </w:rPr>
        <w:t>医</w:t>
      </w:r>
      <w:proofErr w:type="gramEnd"/>
      <w:r w:rsidRPr="000B1DBD">
        <w:rPr>
          <w:rFonts w:hint="eastAsia"/>
          <w:color w:val="000000" w:themeColor="text1"/>
        </w:rPr>
        <w:t>化产品</w:t>
      </w:r>
      <w:r w:rsidRPr="000B1DBD">
        <w:rPr>
          <w:color w:val="000000" w:themeColor="text1"/>
        </w:rPr>
        <w:t>出口</w:t>
      </w:r>
      <w:r w:rsidRPr="000B1DBD">
        <w:rPr>
          <w:rFonts w:hint="eastAsia"/>
          <w:color w:val="000000" w:themeColor="text1"/>
        </w:rPr>
        <w:t>174.7</w:t>
      </w:r>
      <w:r w:rsidRPr="000B1DBD">
        <w:rPr>
          <w:rFonts w:hint="eastAsia"/>
          <w:color w:val="000000" w:themeColor="text1"/>
        </w:rPr>
        <w:t>亿元</w:t>
      </w:r>
      <w:r w:rsidRPr="000B1DBD">
        <w:rPr>
          <w:color w:val="000000" w:themeColor="text1"/>
        </w:rPr>
        <w:t>，同比增长</w:t>
      </w:r>
      <w:r w:rsidRPr="000B1DBD">
        <w:rPr>
          <w:rFonts w:hint="eastAsia"/>
          <w:color w:val="000000" w:themeColor="text1"/>
        </w:rPr>
        <w:t>15.1</w:t>
      </w:r>
      <w:r w:rsidRPr="000B1DBD">
        <w:rPr>
          <w:color w:val="000000" w:themeColor="text1"/>
        </w:rPr>
        <w:t>%</w:t>
      </w:r>
      <w:r w:rsidRPr="000B1DBD">
        <w:rPr>
          <w:rFonts w:hint="eastAsia"/>
          <w:color w:val="000000" w:themeColor="text1"/>
        </w:rPr>
        <w:t>，高于全市平均</w:t>
      </w:r>
      <w:r w:rsidRPr="000B1DBD">
        <w:rPr>
          <w:rFonts w:hint="eastAsia"/>
          <w:color w:val="000000" w:themeColor="text1"/>
        </w:rPr>
        <w:t>3.6</w:t>
      </w:r>
      <w:r w:rsidRPr="000B1DBD">
        <w:rPr>
          <w:rFonts w:hint="eastAsia"/>
          <w:color w:val="000000" w:themeColor="text1"/>
        </w:rPr>
        <w:t>个百分点；阀门、龙头出口</w:t>
      </w:r>
      <w:r w:rsidRPr="000B1DBD">
        <w:rPr>
          <w:rFonts w:hint="eastAsia"/>
          <w:color w:val="000000" w:themeColor="text1"/>
        </w:rPr>
        <w:t>137.5</w:t>
      </w:r>
      <w:r w:rsidRPr="000B1DBD">
        <w:rPr>
          <w:rFonts w:hint="eastAsia"/>
          <w:color w:val="000000" w:themeColor="text1"/>
        </w:rPr>
        <w:t>亿元，同比增长</w:t>
      </w:r>
      <w:r w:rsidRPr="000B1DBD">
        <w:rPr>
          <w:rFonts w:hint="eastAsia"/>
          <w:color w:val="000000" w:themeColor="text1"/>
        </w:rPr>
        <w:t>9.4%</w:t>
      </w:r>
      <w:r w:rsidRPr="000B1DBD">
        <w:rPr>
          <w:rFonts w:hint="eastAsia"/>
          <w:color w:val="000000" w:themeColor="text1"/>
        </w:rPr>
        <w:t>；家具出口</w:t>
      </w:r>
      <w:r w:rsidRPr="000B1DBD">
        <w:rPr>
          <w:rFonts w:hint="eastAsia"/>
          <w:color w:val="000000" w:themeColor="text1"/>
        </w:rPr>
        <w:t>124.7</w:t>
      </w:r>
      <w:r w:rsidRPr="000B1DBD">
        <w:rPr>
          <w:rFonts w:hint="eastAsia"/>
          <w:color w:val="000000" w:themeColor="text1"/>
        </w:rPr>
        <w:t>亿元，同比增长</w:t>
      </w:r>
      <w:r w:rsidRPr="000B1DBD">
        <w:rPr>
          <w:rFonts w:hint="eastAsia"/>
          <w:color w:val="000000" w:themeColor="text1"/>
        </w:rPr>
        <w:t>5.8%</w:t>
      </w:r>
      <w:r w:rsidRPr="000B1DBD">
        <w:rPr>
          <w:rFonts w:hint="eastAsia"/>
          <w:color w:val="000000" w:themeColor="text1"/>
        </w:rPr>
        <w:t>；鞋类出口</w:t>
      </w:r>
      <w:r w:rsidRPr="000B1DBD">
        <w:rPr>
          <w:rFonts w:hint="eastAsia"/>
          <w:color w:val="000000" w:themeColor="text1"/>
        </w:rPr>
        <w:t>107.2</w:t>
      </w:r>
      <w:r w:rsidRPr="000B1DBD">
        <w:rPr>
          <w:rFonts w:hint="eastAsia"/>
          <w:color w:val="000000" w:themeColor="text1"/>
        </w:rPr>
        <w:t>亿元，同比增长</w:t>
      </w:r>
      <w:r w:rsidRPr="000B1DBD">
        <w:rPr>
          <w:rFonts w:hint="eastAsia"/>
          <w:color w:val="000000" w:themeColor="text1"/>
        </w:rPr>
        <w:t>5.4%</w:t>
      </w:r>
      <w:r w:rsidRPr="000B1DBD">
        <w:rPr>
          <w:rFonts w:hint="eastAsia"/>
          <w:color w:val="000000" w:themeColor="text1"/>
        </w:rPr>
        <w:t>；塑料模具出口</w:t>
      </w:r>
      <w:r w:rsidRPr="000B1DBD">
        <w:rPr>
          <w:rFonts w:hint="eastAsia"/>
          <w:color w:val="000000" w:themeColor="text1"/>
        </w:rPr>
        <w:t>100.1</w:t>
      </w:r>
      <w:r w:rsidRPr="000B1DBD">
        <w:rPr>
          <w:rFonts w:hint="eastAsia"/>
          <w:color w:val="000000" w:themeColor="text1"/>
        </w:rPr>
        <w:t>亿元，同比增长</w:t>
      </w:r>
      <w:r w:rsidRPr="000B1DBD">
        <w:rPr>
          <w:rFonts w:hint="eastAsia"/>
          <w:color w:val="000000" w:themeColor="text1"/>
        </w:rPr>
        <w:t>11.8%</w:t>
      </w:r>
      <w:r w:rsidRPr="000B1DBD">
        <w:rPr>
          <w:rFonts w:hint="eastAsia"/>
          <w:color w:val="000000" w:themeColor="text1"/>
        </w:rPr>
        <w:t>；汽摩及部件出口</w:t>
      </w:r>
      <w:r w:rsidRPr="000B1DBD">
        <w:rPr>
          <w:rFonts w:hint="eastAsia"/>
          <w:color w:val="000000" w:themeColor="text1"/>
        </w:rPr>
        <w:t>91.1</w:t>
      </w:r>
      <w:r w:rsidRPr="000B1DBD">
        <w:rPr>
          <w:rFonts w:hint="eastAsia"/>
          <w:color w:val="000000" w:themeColor="text1"/>
        </w:rPr>
        <w:t>亿元，同比增长</w:t>
      </w:r>
      <w:r w:rsidRPr="000B1DBD">
        <w:rPr>
          <w:rFonts w:hint="eastAsia"/>
          <w:color w:val="000000" w:themeColor="text1"/>
        </w:rPr>
        <w:t>13.2%</w:t>
      </w:r>
      <w:r w:rsidRPr="000B1DBD">
        <w:rPr>
          <w:rFonts w:hint="eastAsia"/>
          <w:color w:val="000000" w:themeColor="text1"/>
        </w:rPr>
        <w:t>；家用电器出口</w:t>
      </w:r>
      <w:r w:rsidRPr="000B1DBD">
        <w:rPr>
          <w:rFonts w:hint="eastAsia"/>
          <w:color w:val="000000" w:themeColor="text1"/>
        </w:rPr>
        <w:t>79.6</w:t>
      </w:r>
      <w:r w:rsidRPr="000B1DBD">
        <w:rPr>
          <w:rFonts w:hint="eastAsia"/>
          <w:color w:val="000000" w:themeColor="text1"/>
        </w:rPr>
        <w:t>亿元，同比增长</w:t>
      </w:r>
      <w:r w:rsidRPr="000B1DBD">
        <w:rPr>
          <w:rFonts w:hint="eastAsia"/>
          <w:color w:val="000000" w:themeColor="text1"/>
        </w:rPr>
        <w:t>13.4%</w:t>
      </w:r>
      <w:r w:rsidRPr="000B1DBD">
        <w:rPr>
          <w:rFonts w:hint="eastAsia"/>
          <w:color w:val="000000" w:themeColor="text1"/>
        </w:rPr>
        <w:t>；液体</w:t>
      </w:r>
      <w:proofErr w:type="gramStart"/>
      <w:r w:rsidRPr="000B1DBD">
        <w:rPr>
          <w:rFonts w:hint="eastAsia"/>
          <w:color w:val="000000" w:themeColor="text1"/>
        </w:rPr>
        <w:t>泵出口</w:t>
      </w:r>
      <w:proofErr w:type="gramEnd"/>
      <w:r w:rsidRPr="000B1DBD">
        <w:rPr>
          <w:rFonts w:hint="eastAsia"/>
          <w:color w:val="000000" w:themeColor="text1"/>
        </w:rPr>
        <w:t>70.0</w:t>
      </w:r>
      <w:r w:rsidRPr="000B1DBD">
        <w:rPr>
          <w:rFonts w:hint="eastAsia"/>
          <w:color w:val="000000" w:themeColor="text1"/>
        </w:rPr>
        <w:t>亿元，同比增长</w:t>
      </w:r>
      <w:r w:rsidRPr="000B1DBD">
        <w:rPr>
          <w:rFonts w:hint="eastAsia"/>
          <w:color w:val="000000" w:themeColor="text1"/>
        </w:rPr>
        <w:t>7.8%</w:t>
      </w:r>
      <w:r w:rsidRPr="000B1DBD">
        <w:rPr>
          <w:rFonts w:hint="eastAsia"/>
          <w:color w:val="000000" w:themeColor="text1"/>
        </w:rPr>
        <w:t>；纺织服装出口</w:t>
      </w:r>
      <w:r w:rsidRPr="000B1DBD">
        <w:rPr>
          <w:rFonts w:hint="eastAsia"/>
          <w:color w:val="000000" w:themeColor="text1"/>
        </w:rPr>
        <w:t>62.7</w:t>
      </w:r>
      <w:r w:rsidRPr="000B1DBD">
        <w:rPr>
          <w:rFonts w:hint="eastAsia"/>
          <w:color w:val="000000" w:themeColor="text1"/>
        </w:rPr>
        <w:t>亿元，同比增长</w:t>
      </w:r>
      <w:r w:rsidRPr="000B1DBD">
        <w:rPr>
          <w:rFonts w:hint="eastAsia"/>
          <w:color w:val="000000" w:themeColor="text1"/>
        </w:rPr>
        <w:t>8.5%</w:t>
      </w:r>
      <w:r w:rsidRPr="000B1DBD">
        <w:rPr>
          <w:rFonts w:hint="eastAsia"/>
          <w:color w:val="000000" w:themeColor="text1"/>
        </w:rPr>
        <w:t>；农产品出口</w:t>
      </w:r>
      <w:r w:rsidRPr="000B1DBD">
        <w:rPr>
          <w:rFonts w:hint="eastAsia"/>
          <w:color w:val="000000" w:themeColor="text1"/>
        </w:rPr>
        <w:t>58.2</w:t>
      </w:r>
      <w:r w:rsidRPr="000B1DBD">
        <w:rPr>
          <w:rFonts w:hint="eastAsia"/>
          <w:color w:val="000000" w:themeColor="text1"/>
        </w:rPr>
        <w:t>亿元，同比增长</w:t>
      </w:r>
      <w:r w:rsidRPr="000B1DBD">
        <w:rPr>
          <w:rFonts w:hint="eastAsia"/>
          <w:color w:val="000000" w:themeColor="text1"/>
        </w:rPr>
        <w:t>6.9%</w:t>
      </w:r>
      <w:r w:rsidRPr="000B1DBD">
        <w:rPr>
          <w:rFonts w:hint="eastAsia"/>
          <w:color w:val="000000" w:themeColor="text1"/>
        </w:rPr>
        <w:t>。</w:t>
      </w:r>
    </w:p>
    <w:p w:rsidR="008D2F4E" w:rsidRDefault="008D2F4E" w:rsidP="008D2F4E">
      <w:pPr>
        <w:spacing w:before="100" w:beforeAutospacing="1" w:after="100" w:afterAutospacing="1"/>
        <w:ind w:firstLineChars="200" w:firstLine="420"/>
        <w:rPr>
          <w:color w:val="000000" w:themeColor="text1"/>
        </w:rPr>
      </w:pPr>
      <w:r w:rsidRPr="002B7D58">
        <w:rPr>
          <w:rFonts w:ascii="楷体_GB2312" w:eastAsia="楷体_GB2312" w:hint="eastAsia"/>
          <w:color w:val="000000" w:themeColor="text1"/>
        </w:rPr>
        <w:t>进口增幅呈放缓态势</w:t>
      </w:r>
      <w:r w:rsidRPr="002B7D58">
        <w:rPr>
          <w:color w:val="000000" w:themeColor="text1"/>
        </w:rPr>
        <w:t>。</w:t>
      </w:r>
      <w:r>
        <w:rPr>
          <w:rFonts w:hint="eastAsia"/>
          <w:color w:val="000000" w:themeColor="text1"/>
        </w:rPr>
        <w:t>1-12</w:t>
      </w:r>
      <w:r>
        <w:rPr>
          <w:rFonts w:hint="eastAsia"/>
          <w:color w:val="000000" w:themeColor="text1"/>
        </w:rPr>
        <w:t>月份，</w:t>
      </w:r>
      <w:proofErr w:type="gramStart"/>
      <w:r>
        <w:rPr>
          <w:rFonts w:hint="eastAsia"/>
          <w:color w:val="000000" w:themeColor="text1"/>
        </w:rPr>
        <w:t>铜废碎料</w:t>
      </w:r>
      <w:proofErr w:type="gramEnd"/>
      <w:r>
        <w:rPr>
          <w:rFonts w:hint="eastAsia"/>
          <w:color w:val="000000" w:themeColor="text1"/>
        </w:rPr>
        <w:t>进口</w:t>
      </w:r>
      <w:r>
        <w:rPr>
          <w:rFonts w:hint="eastAsia"/>
          <w:color w:val="000000" w:themeColor="text1"/>
        </w:rPr>
        <w:t>75.4</w:t>
      </w:r>
      <w:r>
        <w:rPr>
          <w:rFonts w:hint="eastAsia"/>
          <w:color w:val="000000" w:themeColor="text1"/>
        </w:rPr>
        <w:t>亿元，同比增长</w:t>
      </w:r>
      <w:r>
        <w:rPr>
          <w:rFonts w:hint="eastAsia"/>
          <w:color w:val="000000" w:themeColor="text1"/>
        </w:rPr>
        <w:t>16.3%</w:t>
      </w:r>
      <w:r>
        <w:rPr>
          <w:rFonts w:hint="eastAsia"/>
          <w:color w:val="000000" w:themeColor="text1"/>
        </w:rPr>
        <w:t>；钢铁废碎料进口</w:t>
      </w:r>
      <w:r>
        <w:rPr>
          <w:rFonts w:hint="eastAsia"/>
          <w:color w:val="000000" w:themeColor="text1"/>
        </w:rPr>
        <w:t>34.7</w:t>
      </w:r>
      <w:r>
        <w:rPr>
          <w:rFonts w:hint="eastAsia"/>
          <w:color w:val="000000" w:themeColor="text1"/>
        </w:rPr>
        <w:t>亿元，同比增长</w:t>
      </w:r>
      <w:r>
        <w:rPr>
          <w:color w:val="000000" w:themeColor="text1"/>
        </w:rPr>
        <w:t>-</w:t>
      </w:r>
      <w:r>
        <w:rPr>
          <w:rFonts w:hint="eastAsia"/>
          <w:color w:val="000000" w:themeColor="text1"/>
        </w:rPr>
        <w:t>39.0%</w:t>
      </w:r>
      <w:r>
        <w:rPr>
          <w:rFonts w:hint="eastAsia"/>
          <w:color w:val="000000" w:themeColor="text1"/>
        </w:rPr>
        <w:t>，两者合计占全市进口总量的</w:t>
      </w:r>
      <w:r>
        <w:rPr>
          <w:rFonts w:hint="eastAsia"/>
          <w:color w:val="000000" w:themeColor="text1"/>
        </w:rPr>
        <w:t>53.6%</w:t>
      </w:r>
      <w:r>
        <w:rPr>
          <w:rFonts w:hint="eastAsia"/>
          <w:color w:val="000000" w:themeColor="text1"/>
        </w:rPr>
        <w:t>。从进口地区看，日本市场进口规模全市第一，进口</w:t>
      </w:r>
      <w:r>
        <w:rPr>
          <w:rFonts w:hint="eastAsia"/>
          <w:color w:val="000000" w:themeColor="text1"/>
        </w:rPr>
        <w:t>79.2</w:t>
      </w:r>
      <w:r>
        <w:rPr>
          <w:rFonts w:hint="eastAsia"/>
          <w:color w:val="000000" w:themeColor="text1"/>
        </w:rPr>
        <w:t>亿元</w:t>
      </w:r>
      <w:r>
        <w:rPr>
          <w:color w:val="000000" w:themeColor="text1"/>
        </w:rPr>
        <w:t>，</w:t>
      </w:r>
      <w:r>
        <w:rPr>
          <w:rFonts w:hint="eastAsia"/>
          <w:color w:val="000000" w:themeColor="text1"/>
        </w:rPr>
        <w:t>同比增长</w:t>
      </w:r>
      <w:r>
        <w:rPr>
          <w:rFonts w:hint="eastAsia"/>
          <w:color w:val="000000" w:themeColor="text1"/>
        </w:rPr>
        <w:t>4.9%</w:t>
      </w:r>
      <w:r>
        <w:rPr>
          <w:rFonts w:hint="eastAsia"/>
          <w:color w:val="000000" w:themeColor="text1"/>
        </w:rPr>
        <w:t>；位列第二的美国进口</w:t>
      </w:r>
      <w:r>
        <w:rPr>
          <w:rFonts w:hint="eastAsia"/>
          <w:color w:val="000000" w:themeColor="text1"/>
        </w:rPr>
        <w:t>15.5</w:t>
      </w:r>
      <w:r>
        <w:rPr>
          <w:rFonts w:hint="eastAsia"/>
          <w:color w:val="000000" w:themeColor="text1"/>
        </w:rPr>
        <w:t>亿元，同比增长</w:t>
      </w:r>
      <w:r>
        <w:rPr>
          <w:color w:val="000000" w:themeColor="text1"/>
        </w:rPr>
        <w:t>-</w:t>
      </w:r>
      <w:r>
        <w:rPr>
          <w:rFonts w:hint="eastAsia"/>
          <w:color w:val="000000" w:themeColor="text1"/>
        </w:rPr>
        <w:t>23.4%</w:t>
      </w:r>
      <w:r>
        <w:rPr>
          <w:rFonts w:hint="eastAsia"/>
          <w:color w:val="000000" w:themeColor="text1"/>
        </w:rPr>
        <w:t>。</w:t>
      </w:r>
    </w:p>
    <w:p w:rsidR="008D2F4E" w:rsidRPr="005E2778" w:rsidRDefault="008D2F4E" w:rsidP="008D2F4E">
      <w:pPr>
        <w:spacing w:before="100" w:beforeAutospacing="1" w:after="100" w:afterAutospacing="1"/>
        <w:ind w:firstLineChars="200" w:firstLine="420"/>
        <w:rPr>
          <w:color w:val="000000" w:themeColor="text1"/>
        </w:rPr>
      </w:pPr>
      <w:r w:rsidRPr="005E2778">
        <w:rPr>
          <w:rFonts w:ascii="楷体_GB2312" w:eastAsia="楷体_GB2312" w:hint="eastAsia"/>
          <w:color w:val="000000" w:themeColor="text1"/>
        </w:rPr>
        <w:t>外贸出口主体规模不断扩大。</w:t>
      </w:r>
      <w:r w:rsidRPr="005E2778">
        <w:rPr>
          <w:rFonts w:hint="eastAsia"/>
          <w:color w:val="000000" w:themeColor="text1"/>
        </w:rPr>
        <w:t>1-12</w:t>
      </w:r>
      <w:r w:rsidRPr="005E2778">
        <w:rPr>
          <w:rFonts w:hint="eastAsia"/>
          <w:color w:val="000000" w:themeColor="text1"/>
        </w:rPr>
        <w:t>月</w:t>
      </w:r>
      <w:r>
        <w:rPr>
          <w:rFonts w:hint="eastAsia"/>
          <w:color w:val="000000" w:themeColor="text1"/>
        </w:rPr>
        <w:t>份，</w:t>
      </w:r>
      <w:r w:rsidRPr="005E2778">
        <w:rPr>
          <w:rFonts w:hint="eastAsia"/>
          <w:color w:val="000000" w:themeColor="text1"/>
        </w:rPr>
        <w:t>全市有进出口实绩的企业为</w:t>
      </w:r>
      <w:r w:rsidRPr="005E2778">
        <w:rPr>
          <w:rFonts w:hint="eastAsia"/>
          <w:color w:val="000000" w:themeColor="text1"/>
        </w:rPr>
        <w:t>6102</w:t>
      </w:r>
      <w:r w:rsidRPr="005E2778">
        <w:rPr>
          <w:rFonts w:hint="eastAsia"/>
          <w:color w:val="000000" w:themeColor="text1"/>
        </w:rPr>
        <w:t>家，比去年同期增加</w:t>
      </w:r>
      <w:r w:rsidRPr="005E2778">
        <w:rPr>
          <w:rFonts w:hint="eastAsia"/>
          <w:color w:val="000000" w:themeColor="text1"/>
        </w:rPr>
        <w:t>544</w:t>
      </w:r>
      <w:r w:rsidRPr="005E2778">
        <w:rPr>
          <w:rFonts w:hint="eastAsia"/>
          <w:color w:val="000000" w:themeColor="text1"/>
        </w:rPr>
        <w:t>家；出口实绩的企业</w:t>
      </w:r>
      <w:r w:rsidRPr="005E2778">
        <w:rPr>
          <w:rFonts w:hint="eastAsia"/>
          <w:color w:val="000000" w:themeColor="text1"/>
        </w:rPr>
        <w:t>5801</w:t>
      </w:r>
      <w:r w:rsidRPr="005E2778">
        <w:rPr>
          <w:rFonts w:hint="eastAsia"/>
          <w:color w:val="000000" w:themeColor="text1"/>
        </w:rPr>
        <w:t>家，比去年同期净增加</w:t>
      </w:r>
      <w:r w:rsidRPr="005E2778">
        <w:rPr>
          <w:rFonts w:hint="eastAsia"/>
          <w:color w:val="000000" w:themeColor="text1"/>
        </w:rPr>
        <w:t>540</w:t>
      </w:r>
      <w:r w:rsidRPr="005E2778">
        <w:rPr>
          <w:rFonts w:hint="eastAsia"/>
          <w:color w:val="000000" w:themeColor="text1"/>
        </w:rPr>
        <w:t>家，净增出口额</w:t>
      </w:r>
      <w:r w:rsidRPr="005E2778">
        <w:rPr>
          <w:rFonts w:hint="eastAsia"/>
          <w:color w:val="000000" w:themeColor="text1"/>
        </w:rPr>
        <w:t>50.6</w:t>
      </w:r>
      <w:r w:rsidRPr="005E2778">
        <w:rPr>
          <w:rFonts w:hint="eastAsia"/>
          <w:color w:val="000000" w:themeColor="text1"/>
        </w:rPr>
        <w:t>亿元（其中从无到有企业</w:t>
      </w:r>
      <w:r w:rsidRPr="005E2778">
        <w:rPr>
          <w:rFonts w:hint="eastAsia"/>
          <w:color w:val="000000" w:themeColor="text1"/>
        </w:rPr>
        <w:t>1009</w:t>
      </w:r>
      <w:r w:rsidRPr="005E2778">
        <w:rPr>
          <w:rFonts w:hint="eastAsia"/>
          <w:color w:val="000000" w:themeColor="text1"/>
        </w:rPr>
        <w:t>家，出口</w:t>
      </w:r>
      <w:r w:rsidRPr="005E2778">
        <w:rPr>
          <w:rFonts w:hint="eastAsia"/>
          <w:color w:val="000000" w:themeColor="text1"/>
        </w:rPr>
        <w:t>67.6</w:t>
      </w:r>
      <w:r w:rsidRPr="005E2778">
        <w:rPr>
          <w:rFonts w:hint="eastAsia"/>
          <w:color w:val="000000" w:themeColor="text1"/>
        </w:rPr>
        <w:t>亿元；从有到无企业</w:t>
      </w:r>
      <w:r w:rsidRPr="005E2778">
        <w:rPr>
          <w:rFonts w:hint="eastAsia"/>
          <w:color w:val="000000" w:themeColor="text1"/>
        </w:rPr>
        <w:t>469</w:t>
      </w:r>
      <w:r w:rsidRPr="005E2778">
        <w:rPr>
          <w:rFonts w:hint="eastAsia"/>
          <w:color w:val="000000" w:themeColor="text1"/>
        </w:rPr>
        <w:t>家，同期出口</w:t>
      </w:r>
      <w:r w:rsidRPr="005E2778">
        <w:rPr>
          <w:rFonts w:hint="eastAsia"/>
          <w:color w:val="000000" w:themeColor="text1"/>
        </w:rPr>
        <w:t>17</w:t>
      </w:r>
      <w:r w:rsidRPr="005E2778">
        <w:rPr>
          <w:rFonts w:hint="eastAsia"/>
          <w:color w:val="000000" w:themeColor="text1"/>
        </w:rPr>
        <w:t>亿元）。其中加工贸易出口家数为</w:t>
      </w:r>
      <w:r w:rsidRPr="005E2778">
        <w:rPr>
          <w:rFonts w:hint="eastAsia"/>
          <w:color w:val="000000" w:themeColor="text1"/>
        </w:rPr>
        <w:t>176</w:t>
      </w:r>
      <w:r w:rsidRPr="005E2778">
        <w:rPr>
          <w:rFonts w:hint="eastAsia"/>
          <w:color w:val="000000" w:themeColor="text1"/>
        </w:rPr>
        <w:t>家，比去年同期减少</w:t>
      </w:r>
      <w:r w:rsidRPr="005E2778">
        <w:rPr>
          <w:rFonts w:hint="eastAsia"/>
          <w:color w:val="000000" w:themeColor="text1"/>
        </w:rPr>
        <w:t>12</w:t>
      </w:r>
      <w:r w:rsidRPr="005E2778">
        <w:rPr>
          <w:rFonts w:hint="eastAsia"/>
          <w:color w:val="000000" w:themeColor="text1"/>
        </w:rPr>
        <w:t>家。全市进出口</w:t>
      </w:r>
      <w:r w:rsidRPr="005E2778">
        <w:rPr>
          <w:rFonts w:hint="eastAsia"/>
          <w:color w:val="000000" w:themeColor="text1"/>
        </w:rPr>
        <w:t>500</w:t>
      </w:r>
      <w:r w:rsidRPr="005E2778">
        <w:rPr>
          <w:rFonts w:hint="eastAsia"/>
          <w:color w:val="000000" w:themeColor="text1"/>
        </w:rPr>
        <w:t>万元以上的企业有</w:t>
      </w:r>
      <w:r w:rsidRPr="005E2778">
        <w:rPr>
          <w:rFonts w:hint="eastAsia"/>
          <w:color w:val="000000" w:themeColor="text1"/>
        </w:rPr>
        <w:t>3003</w:t>
      </w:r>
      <w:r w:rsidRPr="005E2778">
        <w:rPr>
          <w:rFonts w:hint="eastAsia"/>
          <w:color w:val="000000" w:themeColor="text1"/>
        </w:rPr>
        <w:t>家，进出口</w:t>
      </w:r>
      <w:r w:rsidRPr="005E2778">
        <w:rPr>
          <w:rFonts w:hint="eastAsia"/>
          <w:color w:val="000000" w:themeColor="text1"/>
        </w:rPr>
        <w:t>5000</w:t>
      </w:r>
      <w:r w:rsidRPr="005E2778">
        <w:rPr>
          <w:rFonts w:hint="eastAsia"/>
          <w:color w:val="000000" w:themeColor="text1"/>
        </w:rPr>
        <w:t>万元以上的企业有</w:t>
      </w:r>
      <w:r w:rsidRPr="005E2778">
        <w:rPr>
          <w:rFonts w:hint="eastAsia"/>
          <w:color w:val="000000" w:themeColor="text1"/>
        </w:rPr>
        <w:t>685</w:t>
      </w:r>
      <w:r w:rsidRPr="005E2778">
        <w:rPr>
          <w:rFonts w:hint="eastAsia"/>
          <w:color w:val="000000" w:themeColor="text1"/>
        </w:rPr>
        <w:t>家，进出口</w:t>
      </w:r>
      <w:r w:rsidRPr="005E2778">
        <w:rPr>
          <w:rFonts w:hint="eastAsia"/>
          <w:color w:val="000000" w:themeColor="text1"/>
        </w:rPr>
        <w:t>5</w:t>
      </w:r>
      <w:r w:rsidRPr="005E2778">
        <w:rPr>
          <w:rFonts w:hint="eastAsia"/>
          <w:color w:val="000000" w:themeColor="text1"/>
        </w:rPr>
        <w:t>亿元以上的企业有</w:t>
      </w:r>
      <w:r w:rsidRPr="005E2778">
        <w:rPr>
          <w:rFonts w:hint="eastAsia"/>
          <w:color w:val="000000" w:themeColor="text1"/>
        </w:rPr>
        <w:t>39</w:t>
      </w:r>
      <w:r w:rsidRPr="005E2778">
        <w:rPr>
          <w:rFonts w:hint="eastAsia"/>
          <w:color w:val="000000" w:themeColor="text1"/>
        </w:rPr>
        <w:t>家。全市出口</w:t>
      </w:r>
      <w:r w:rsidRPr="005E2778">
        <w:rPr>
          <w:rFonts w:hint="eastAsia"/>
          <w:color w:val="000000" w:themeColor="text1"/>
        </w:rPr>
        <w:t>500</w:t>
      </w:r>
      <w:r w:rsidRPr="005E2778">
        <w:rPr>
          <w:rFonts w:hint="eastAsia"/>
          <w:color w:val="000000" w:themeColor="text1"/>
        </w:rPr>
        <w:t>万元以上的企业有</w:t>
      </w:r>
      <w:r w:rsidRPr="005E2778">
        <w:rPr>
          <w:rFonts w:hint="eastAsia"/>
          <w:color w:val="000000" w:themeColor="text1"/>
        </w:rPr>
        <w:t>2873</w:t>
      </w:r>
      <w:r w:rsidRPr="005E2778">
        <w:rPr>
          <w:rFonts w:hint="eastAsia"/>
          <w:color w:val="000000" w:themeColor="text1"/>
        </w:rPr>
        <w:t>家，出口</w:t>
      </w:r>
      <w:r w:rsidRPr="005E2778">
        <w:rPr>
          <w:rFonts w:hint="eastAsia"/>
          <w:color w:val="000000" w:themeColor="text1"/>
        </w:rPr>
        <w:t>5000</w:t>
      </w:r>
      <w:r w:rsidRPr="005E2778">
        <w:rPr>
          <w:rFonts w:hint="eastAsia"/>
          <w:color w:val="000000" w:themeColor="text1"/>
        </w:rPr>
        <w:t>万元以上的企业有</w:t>
      </w:r>
      <w:r w:rsidRPr="005E2778">
        <w:rPr>
          <w:rFonts w:hint="eastAsia"/>
          <w:color w:val="000000" w:themeColor="text1"/>
        </w:rPr>
        <w:t>619</w:t>
      </w:r>
      <w:r w:rsidRPr="005E2778">
        <w:rPr>
          <w:rFonts w:hint="eastAsia"/>
          <w:color w:val="000000" w:themeColor="text1"/>
        </w:rPr>
        <w:t>家，出口</w:t>
      </w:r>
      <w:r w:rsidRPr="005E2778">
        <w:rPr>
          <w:rFonts w:hint="eastAsia"/>
          <w:color w:val="000000" w:themeColor="text1"/>
        </w:rPr>
        <w:t>5</w:t>
      </w:r>
      <w:r w:rsidRPr="005E2778">
        <w:rPr>
          <w:rFonts w:hint="eastAsia"/>
          <w:color w:val="000000" w:themeColor="text1"/>
        </w:rPr>
        <w:t>亿元以上的企业有</w:t>
      </w:r>
      <w:r w:rsidRPr="005E2778">
        <w:rPr>
          <w:rFonts w:hint="eastAsia"/>
          <w:color w:val="000000" w:themeColor="text1"/>
        </w:rPr>
        <w:t>34</w:t>
      </w:r>
      <w:r w:rsidRPr="005E2778">
        <w:rPr>
          <w:rFonts w:hint="eastAsia"/>
          <w:color w:val="000000" w:themeColor="text1"/>
        </w:rPr>
        <w:t>家。</w:t>
      </w:r>
    </w:p>
    <w:p w:rsidR="008D2F4E" w:rsidRPr="00EF490D" w:rsidRDefault="008D2F4E" w:rsidP="008D2F4E">
      <w:pPr>
        <w:spacing w:before="100" w:beforeAutospacing="1" w:after="100" w:afterAutospacing="1"/>
        <w:ind w:firstLineChars="200" w:firstLine="420"/>
        <w:rPr>
          <w:color w:val="000000" w:themeColor="text1"/>
        </w:rPr>
      </w:pPr>
      <w:r w:rsidRPr="005E2778">
        <w:rPr>
          <w:rFonts w:ascii="楷体_GB2312" w:eastAsia="楷体_GB2312" w:hint="eastAsia"/>
          <w:color w:val="000000" w:themeColor="text1"/>
        </w:rPr>
        <w:t>龙头企业出口带动明显。</w:t>
      </w:r>
      <w:r w:rsidRPr="005E2778">
        <w:rPr>
          <w:rFonts w:hint="eastAsia"/>
          <w:color w:val="000000" w:themeColor="text1"/>
        </w:rPr>
        <w:t>1-12</w:t>
      </w:r>
      <w:r w:rsidRPr="005E2778">
        <w:rPr>
          <w:rFonts w:hint="eastAsia"/>
          <w:color w:val="000000" w:themeColor="text1"/>
        </w:rPr>
        <w:t>月份，全市</w:t>
      </w:r>
      <w:r w:rsidRPr="005E2778">
        <w:rPr>
          <w:rFonts w:hint="eastAsia"/>
          <w:color w:val="000000" w:themeColor="text1"/>
        </w:rPr>
        <w:t>500</w:t>
      </w:r>
      <w:r w:rsidRPr="005E2778">
        <w:rPr>
          <w:rFonts w:hint="eastAsia"/>
          <w:color w:val="000000" w:themeColor="text1"/>
        </w:rPr>
        <w:t>强企业出口</w:t>
      </w:r>
      <w:r w:rsidRPr="005E2778">
        <w:rPr>
          <w:rFonts w:hint="eastAsia"/>
          <w:color w:val="000000" w:themeColor="text1"/>
        </w:rPr>
        <w:t>1038.0</w:t>
      </w:r>
      <w:r w:rsidRPr="005E2778">
        <w:rPr>
          <w:rFonts w:hint="eastAsia"/>
          <w:color w:val="000000" w:themeColor="text1"/>
        </w:rPr>
        <w:t>亿元，占比</w:t>
      </w:r>
      <w:r w:rsidRPr="005E2778">
        <w:rPr>
          <w:rFonts w:hint="eastAsia"/>
          <w:color w:val="000000" w:themeColor="text1"/>
        </w:rPr>
        <w:t>67.5%</w:t>
      </w:r>
      <w:r w:rsidRPr="005E2778">
        <w:rPr>
          <w:rFonts w:hint="eastAsia"/>
          <w:color w:val="000000" w:themeColor="text1"/>
        </w:rPr>
        <w:t>，同比增长</w:t>
      </w:r>
      <w:r>
        <w:rPr>
          <w:rFonts w:hint="eastAsia"/>
          <w:color w:val="000000" w:themeColor="text1"/>
        </w:rPr>
        <w:t>21.6</w:t>
      </w:r>
      <w:r w:rsidRPr="009B4569">
        <w:rPr>
          <w:rFonts w:hint="eastAsia"/>
          <w:color w:val="000000" w:themeColor="text1"/>
        </w:rPr>
        <w:t>%</w:t>
      </w:r>
      <w:r w:rsidRPr="009B4569">
        <w:rPr>
          <w:rFonts w:hint="eastAsia"/>
          <w:color w:val="000000" w:themeColor="text1"/>
        </w:rPr>
        <w:t>。</w:t>
      </w:r>
      <w:r>
        <w:rPr>
          <w:rFonts w:hint="eastAsia"/>
          <w:color w:val="000000" w:themeColor="text1"/>
        </w:rPr>
        <w:t>其中全市</w:t>
      </w:r>
      <w:r w:rsidRPr="00EF490D">
        <w:rPr>
          <w:rFonts w:hint="eastAsia"/>
          <w:color w:val="000000" w:themeColor="text1"/>
        </w:rPr>
        <w:t>出口前</w:t>
      </w:r>
      <w:r w:rsidRPr="00EF490D">
        <w:rPr>
          <w:color w:val="000000" w:themeColor="text1"/>
        </w:rPr>
        <w:t>50</w:t>
      </w:r>
      <w:r w:rsidRPr="00EF490D">
        <w:rPr>
          <w:rFonts w:hint="eastAsia"/>
          <w:color w:val="000000" w:themeColor="text1"/>
        </w:rPr>
        <w:t>强企业出口额合计</w:t>
      </w:r>
      <w:r>
        <w:rPr>
          <w:rFonts w:hint="eastAsia"/>
          <w:color w:val="000000" w:themeColor="text1"/>
        </w:rPr>
        <w:t>435.7</w:t>
      </w:r>
      <w:r w:rsidRPr="00EF490D">
        <w:rPr>
          <w:rFonts w:hint="eastAsia"/>
          <w:color w:val="000000" w:themeColor="text1"/>
        </w:rPr>
        <w:t>亿元，同比增长</w:t>
      </w:r>
      <w:r>
        <w:rPr>
          <w:rFonts w:hint="eastAsia"/>
          <w:color w:val="000000" w:themeColor="text1"/>
        </w:rPr>
        <w:t>21.1</w:t>
      </w:r>
      <w:r w:rsidRPr="00EF490D">
        <w:rPr>
          <w:color w:val="000000" w:themeColor="text1"/>
        </w:rPr>
        <w:t>%</w:t>
      </w:r>
      <w:r w:rsidRPr="00EF490D">
        <w:rPr>
          <w:rFonts w:hint="eastAsia"/>
          <w:color w:val="000000" w:themeColor="text1"/>
        </w:rPr>
        <w:t>，高于全市平均</w:t>
      </w:r>
      <w:r>
        <w:rPr>
          <w:rFonts w:hint="eastAsia"/>
          <w:color w:val="000000" w:themeColor="text1"/>
        </w:rPr>
        <w:t>9.6</w:t>
      </w:r>
      <w:r w:rsidRPr="00EF490D">
        <w:rPr>
          <w:rFonts w:hint="eastAsia"/>
          <w:color w:val="000000" w:themeColor="text1"/>
        </w:rPr>
        <w:t>个百分点，占全市出口总额的</w:t>
      </w:r>
      <w:r>
        <w:rPr>
          <w:rFonts w:hint="eastAsia"/>
          <w:color w:val="000000" w:themeColor="text1"/>
        </w:rPr>
        <w:t>28.3</w:t>
      </w:r>
      <w:r w:rsidRPr="00EF490D">
        <w:rPr>
          <w:color w:val="000000" w:themeColor="text1"/>
        </w:rPr>
        <w:t>%</w:t>
      </w:r>
      <w:r w:rsidRPr="00EF490D">
        <w:rPr>
          <w:rFonts w:hint="eastAsia"/>
          <w:color w:val="000000" w:themeColor="text1"/>
        </w:rPr>
        <w:t>。</w:t>
      </w:r>
    </w:p>
    <w:p w:rsidR="008D2F4E" w:rsidRDefault="008D2F4E" w:rsidP="008D2F4E">
      <w:pPr>
        <w:keepNext/>
        <w:keepLines/>
        <w:tabs>
          <w:tab w:val="left" w:pos="851"/>
        </w:tabs>
        <w:spacing w:before="100" w:beforeAutospacing="1" w:after="100" w:afterAutospacing="1"/>
        <w:ind w:firstLineChars="200" w:firstLine="420"/>
        <w:rPr>
          <w:rFonts w:ascii="黑体" w:eastAsia="黑体" w:hAnsi="黑体"/>
          <w:color w:val="000000" w:themeColor="text1"/>
        </w:rPr>
      </w:pPr>
      <w:r>
        <w:rPr>
          <w:rFonts w:ascii="黑体" w:eastAsia="黑体" w:hAnsi="黑体" w:hint="eastAsia"/>
          <w:color w:val="000000" w:themeColor="text1"/>
        </w:rPr>
        <w:lastRenderedPageBreak/>
        <w:t>四、引进外资</w:t>
      </w:r>
    </w:p>
    <w:p w:rsidR="008D2F4E" w:rsidRDefault="008D2F4E" w:rsidP="008D2F4E">
      <w:pPr>
        <w:spacing w:before="100" w:beforeAutospacing="1" w:after="100" w:afterAutospacing="1"/>
        <w:ind w:firstLineChars="200" w:firstLine="420"/>
        <w:rPr>
          <w:color w:val="000000" w:themeColor="text1"/>
        </w:rPr>
      </w:pPr>
      <w:r>
        <w:rPr>
          <w:rFonts w:hint="eastAsia"/>
          <w:color w:val="000000" w:themeColor="text1"/>
        </w:rPr>
        <w:t>1-12</w:t>
      </w:r>
      <w:r>
        <w:rPr>
          <w:rFonts w:hint="eastAsia"/>
          <w:color w:val="000000" w:themeColor="text1"/>
        </w:rPr>
        <w:t>月份，全市新批外资项目</w:t>
      </w:r>
      <w:r>
        <w:rPr>
          <w:rFonts w:hint="eastAsia"/>
          <w:color w:val="000000" w:themeColor="text1"/>
        </w:rPr>
        <w:t>44</w:t>
      </w:r>
      <w:r>
        <w:rPr>
          <w:rFonts w:hint="eastAsia"/>
          <w:color w:val="000000" w:themeColor="text1"/>
        </w:rPr>
        <w:t>个；总投资</w:t>
      </w:r>
      <w:r>
        <w:rPr>
          <w:rFonts w:hint="eastAsia"/>
          <w:color w:val="000000" w:themeColor="text1"/>
        </w:rPr>
        <w:t>82060</w:t>
      </w:r>
      <w:r>
        <w:rPr>
          <w:rFonts w:hint="eastAsia"/>
          <w:color w:val="000000" w:themeColor="text1"/>
        </w:rPr>
        <w:t>万美元，同比增长</w:t>
      </w:r>
      <w:r>
        <w:rPr>
          <w:rFonts w:hint="eastAsia"/>
          <w:color w:val="000000" w:themeColor="text1"/>
        </w:rPr>
        <w:t>-48.5%</w:t>
      </w:r>
      <w:r>
        <w:rPr>
          <w:rFonts w:hint="eastAsia"/>
          <w:color w:val="000000" w:themeColor="text1"/>
        </w:rPr>
        <w:t>；合同外资</w:t>
      </w:r>
      <w:r>
        <w:rPr>
          <w:rFonts w:hint="eastAsia"/>
          <w:color w:val="000000" w:themeColor="text1"/>
        </w:rPr>
        <w:t>50532</w:t>
      </w:r>
      <w:r>
        <w:rPr>
          <w:rFonts w:hint="eastAsia"/>
          <w:color w:val="000000" w:themeColor="text1"/>
        </w:rPr>
        <w:t>万美元，同比增长</w:t>
      </w:r>
      <w:r>
        <w:rPr>
          <w:rFonts w:hint="eastAsia"/>
          <w:color w:val="000000" w:themeColor="text1"/>
        </w:rPr>
        <w:t>-35.4%</w:t>
      </w:r>
      <w:r>
        <w:rPr>
          <w:rFonts w:hint="eastAsia"/>
          <w:color w:val="000000" w:themeColor="text1"/>
        </w:rPr>
        <w:t>；实际外资</w:t>
      </w:r>
      <w:r>
        <w:rPr>
          <w:rFonts w:hint="eastAsia"/>
          <w:color w:val="000000" w:themeColor="text1"/>
        </w:rPr>
        <w:t>28893</w:t>
      </w:r>
      <w:r>
        <w:rPr>
          <w:rFonts w:hint="eastAsia"/>
          <w:color w:val="000000" w:themeColor="text1"/>
        </w:rPr>
        <w:t>万美元，同比增长</w:t>
      </w:r>
      <w:r>
        <w:rPr>
          <w:color w:val="000000" w:themeColor="text1"/>
        </w:rPr>
        <w:t>-</w:t>
      </w:r>
      <w:r>
        <w:rPr>
          <w:rFonts w:hint="eastAsia"/>
          <w:color w:val="000000" w:themeColor="text1"/>
        </w:rPr>
        <w:t>34.8%</w:t>
      </w:r>
      <w:r>
        <w:rPr>
          <w:rFonts w:hint="eastAsia"/>
          <w:color w:val="000000" w:themeColor="text1"/>
        </w:rPr>
        <w:t>，完成年度目标的</w:t>
      </w:r>
      <w:r>
        <w:rPr>
          <w:rFonts w:hint="eastAsia"/>
          <w:color w:val="000000" w:themeColor="text1"/>
        </w:rPr>
        <w:t>72.2%</w:t>
      </w:r>
      <w:r>
        <w:rPr>
          <w:rFonts w:hint="eastAsia"/>
          <w:color w:val="000000" w:themeColor="text1"/>
        </w:rPr>
        <w:t>。（图</w:t>
      </w:r>
      <w:r>
        <w:rPr>
          <w:rFonts w:hint="eastAsia"/>
          <w:color w:val="000000" w:themeColor="text1"/>
        </w:rPr>
        <w:t>12</w:t>
      </w:r>
      <w:r>
        <w:rPr>
          <w:color w:val="000000" w:themeColor="text1"/>
        </w:rPr>
        <w:t>）</w:t>
      </w:r>
      <w:r>
        <w:rPr>
          <w:rFonts w:hint="eastAsia"/>
          <w:color w:val="000000" w:themeColor="text1"/>
        </w:rPr>
        <w:t>全市外资呈现以下特点：</w:t>
      </w:r>
    </w:p>
    <w:p w:rsidR="008D2F4E" w:rsidRDefault="008D2F4E" w:rsidP="008D2F4E">
      <w:pPr>
        <w:keepNext/>
        <w:spacing w:before="100" w:beforeAutospacing="1"/>
        <w:jc w:val="center"/>
        <w:rPr>
          <w:color w:val="000000" w:themeColor="text1"/>
        </w:rPr>
      </w:pPr>
      <w:r>
        <w:rPr>
          <w:noProof/>
          <w:color w:val="000000" w:themeColor="text1"/>
        </w:rPr>
        <w:drawing>
          <wp:inline distT="0" distB="0" distL="0" distR="0" wp14:anchorId="6B3C6B1F" wp14:editId="07E66453">
            <wp:extent cx="3589200" cy="20592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89200" cy="2059200"/>
                    </a:xfrm>
                    <a:prstGeom prst="rect">
                      <a:avLst/>
                    </a:prstGeom>
                    <a:noFill/>
                    <a:ln>
                      <a:noFill/>
                    </a:ln>
                  </pic:spPr>
                </pic:pic>
              </a:graphicData>
            </a:graphic>
          </wp:inline>
        </w:drawing>
      </w:r>
    </w:p>
    <w:p w:rsidR="008D2F4E" w:rsidRDefault="008D2F4E" w:rsidP="008D2F4E">
      <w:pPr>
        <w:pStyle w:val="ac"/>
        <w:jc w:val="center"/>
        <w:rPr>
          <w:color w:val="000000" w:themeColor="text1"/>
        </w:rPr>
      </w:pPr>
      <w:bookmarkStart w:id="14" w:name="_Ref406948175"/>
      <w:r>
        <w:rPr>
          <w:rFonts w:hint="eastAsia"/>
          <w:color w:val="000000" w:themeColor="text1"/>
        </w:rPr>
        <w:t>图</w:t>
      </w:r>
      <w:bookmarkEnd w:id="14"/>
      <w:r>
        <w:rPr>
          <w:rFonts w:hint="eastAsia"/>
          <w:color w:val="000000" w:themeColor="text1"/>
        </w:rPr>
        <w:t>12</w:t>
      </w:r>
      <w:r>
        <w:rPr>
          <w:color w:val="000000" w:themeColor="text1"/>
        </w:rPr>
        <w:t xml:space="preserve">  201</w:t>
      </w:r>
      <w:r>
        <w:rPr>
          <w:rFonts w:hint="eastAsia"/>
          <w:color w:val="000000" w:themeColor="text1"/>
        </w:rPr>
        <w:t>8</w:t>
      </w:r>
      <w:r>
        <w:rPr>
          <w:rFonts w:hint="eastAsia"/>
          <w:color w:val="000000" w:themeColor="text1"/>
        </w:rPr>
        <w:t>年</w:t>
      </w:r>
      <w:r>
        <w:rPr>
          <w:rFonts w:hint="eastAsia"/>
          <w:color w:val="000000" w:themeColor="text1"/>
        </w:rPr>
        <w:t>1-12</w:t>
      </w:r>
      <w:r>
        <w:rPr>
          <w:rFonts w:hint="eastAsia"/>
          <w:color w:val="000000" w:themeColor="text1"/>
        </w:rPr>
        <w:t>月份</w:t>
      </w:r>
      <w:r>
        <w:rPr>
          <w:color w:val="000000" w:themeColor="text1"/>
        </w:rPr>
        <w:t>全市</w:t>
      </w:r>
      <w:r>
        <w:rPr>
          <w:rFonts w:hint="eastAsia"/>
          <w:color w:val="000000" w:themeColor="text1"/>
        </w:rPr>
        <w:t>各地</w:t>
      </w:r>
      <w:r>
        <w:rPr>
          <w:color w:val="000000" w:themeColor="text1"/>
        </w:rPr>
        <w:t>引进外资情况（</w:t>
      </w:r>
      <w:r>
        <w:rPr>
          <w:rFonts w:hint="eastAsia"/>
          <w:color w:val="000000" w:themeColor="text1"/>
        </w:rPr>
        <w:t>万美元</w:t>
      </w:r>
      <w:r>
        <w:rPr>
          <w:color w:val="000000" w:themeColor="text1"/>
        </w:rPr>
        <w:t>）</w:t>
      </w:r>
    </w:p>
    <w:p w:rsidR="008D2F4E" w:rsidRDefault="008D2F4E" w:rsidP="008D2F4E">
      <w:pPr>
        <w:keepNext/>
        <w:keepLines/>
        <w:tabs>
          <w:tab w:val="left" w:pos="851"/>
        </w:tabs>
        <w:spacing w:before="100" w:beforeAutospacing="1" w:after="100" w:afterAutospacing="1"/>
        <w:ind w:left="105" w:firstLineChars="150" w:firstLine="315"/>
        <w:rPr>
          <w:rFonts w:ascii="黑体" w:eastAsia="黑体" w:hAnsi="黑体"/>
          <w:color w:val="000000" w:themeColor="text1"/>
        </w:rPr>
      </w:pPr>
      <w:r>
        <w:rPr>
          <w:rFonts w:ascii="黑体" w:eastAsia="黑体" w:hAnsi="黑体" w:hint="eastAsia"/>
          <w:color w:val="000000" w:themeColor="text1"/>
        </w:rPr>
        <w:t>五、外经合作</w:t>
      </w:r>
    </w:p>
    <w:p w:rsidR="008D2F4E" w:rsidRDefault="008D2F4E" w:rsidP="008D2F4E">
      <w:pPr>
        <w:spacing w:before="100" w:beforeAutospacing="1" w:after="100" w:afterAutospacing="1"/>
        <w:ind w:firstLineChars="200" w:firstLine="420"/>
        <w:rPr>
          <w:color w:val="000000" w:themeColor="text1"/>
        </w:rPr>
      </w:pPr>
      <w:r>
        <w:rPr>
          <w:rFonts w:hint="eastAsia"/>
          <w:color w:val="000000" w:themeColor="text1"/>
        </w:rPr>
        <w:t>1-12</w:t>
      </w:r>
      <w:r>
        <w:rPr>
          <w:rFonts w:hint="eastAsia"/>
          <w:color w:val="000000" w:themeColor="text1"/>
        </w:rPr>
        <w:t>月份，全市新批</w:t>
      </w:r>
      <w:r>
        <w:rPr>
          <w:rFonts w:hint="eastAsia"/>
          <w:color w:val="000000" w:themeColor="text1"/>
        </w:rPr>
        <w:t>35</w:t>
      </w:r>
      <w:r>
        <w:rPr>
          <w:rFonts w:hint="eastAsia"/>
          <w:color w:val="000000" w:themeColor="text1"/>
        </w:rPr>
        <w:t>家境外投资企业，中方投资额</w:t>
      </w:r>
      <w:r>
        <w:rPr>
          <w:rFonts w:hint="eastAsia"/>
          <w:color w:val="000000" w:themeColor="text1"/>
        </w:rPr>
        <w:t>206321</w:t>
      </w:r>
      <w:r>
        <w:rPr>
          <w:rFonts w:hint="eastAsia"/>
          <w:color w:val="000000" w:themeColor="text1"/>
        </w:rPr>
        <w:t>万美元，同比增长</w:t>
      </w:r>
      <w:r>
        <w:rPr>
          <w:rFonts w:hint="eastAsia"/>
          <w:color w:val="000000" w:themeColor="text1"/>
        </w:rPr>
        <w:t>312.0%</w:t>
      </w:r>
      <w:r>
        <w:rPr>
          <w:rFonts w:hint="eastAsia"/>
          <w:color w:val="000000" w:themeColor="text1"/>
        </w:rPr>
        <w:t>，完成年度计划</w:t>
      </w:r>
      <w:r>
        <w:rPr>
          <w:rFonts w:hint="eastAsia"/>
          <w:color w:val="000000" w:themeColor="text1"/>
        </w:rPr>
        <w:t>2063.2%</w:t>
      </w:r>
      <w:r>
        <w:rPr>
          <w:rFonts w:hint="eastAsia"/>
          <w:color w:val="000000" w:themeColor="text1"/>
        </w:rPr>
        <w:t>。至此全市累计境外投资项目数为</w:t>
      </w:r>
      <w:r>
        <w:rPr>
          <w:rFonts w:hint="eastAsia"/>
          <w:color w:val="000000" w:themeColor="text1"/>
        </w:rPr>
        <w:t>660</w:t>
      </w:r>
      <w:r>
        <w:rPr>
          <w:rFonts w:hint="eastAsia"/>
          <w:color w:val="000000" w:themeColor="text1"/>
        </w:rPr>
        <w:t>个，中方累计投资额为</w:t>
      </w:r>
      <w:r>
        <w:rPr>
          <w:rFonts w:hint="eastAsia"/>
          <w:color w:val="000000" w:themeColor="text1"/>
        </w:rPr>
        <w:t>35.0</w:t>
      </w:r>
      <w:r>
        <w:rPr>
          <w:rFonts w:hint="eastAsia"/>
          <w:color w:val="000000" w:themeColor="text1"/>
        </w:rPr>
        <w:t>亿美元。全市累计对外经济合作项目数为</w:t>
      </w:r>
      <w:r>
        <w:rPr>
          <w:rFonts w:hint="eastAsia"/>
          <w:color w:val="000000" w:themeColor="text1"/>
        </w:rPr>
        <w:t>15</w:t>
      </w:r>
      <w:r>
        <w:rPr>
          <w:rFonts w:hint="eastAsia"/>
          <w:color w:val="000000" w:themeColor="text1"/>
        </w:rPr>
        <w:t>个，外派人数</w:t>
      </w:r>
      <w:r>
        <w:rPr>
          <w:rFonts w:hint="eastAsia"/>
          <w:color w:val="000000" w:themeColor="text1"/>
        </w:rPr>
        <w:t>107</w:t>
      </w:r>
      <w:r>
        <w:rPr>
          <w:rFonts w:hint="eastAsia"/>
          <w:color w:val="000000" w:themeColor="text1"/>
        </w:rPr>
        <w:t>人，对外经济合作营业额</w:t>
      </w:r>
      <w:r>
        <w:rPr>
          <w:rFonts w:hint="eastAsia"/>
          <w:color w:val="000000" w:themeColor="text1"/>
        </w:rPr>
        <w:t>11590</w:t>
      </w:r>
      <w:r>
        <w:rPr>
          <w:rFonts w:hint="eastAsia"/>
          <w:color w:val="000000" w:themeColor="text1"/>
        </w:rPr>
        <w:t>万美元，同比增长</w:t>
      </w:r>
      <w:r>
        <w:rPr>
          <w:rFonts w:hint="eastAsia"/>
          <w:color w:val="000000" w:themeColor="text1"/>
        </w:rPr>
        <w:t>-3.9%</w:t>
      </w:r>
      <w:r>
        <w:rPr>
          <w:rFonts w:hint="eastAsia"/>
          <w:color w:val="000000" w:themeColor="text1"/>
        </w:rPr>
        <w:t>，完成年度计划</w:t>
      </w:r>
      <w:r>
        <w:rPr>
          <w:rFonts w:hint="eastAsia"/>
          <w:color w:val="000000" w:themeColor="text1"/>
        </w:rPr>
        <w:t>115.9%</w:t>
      </w:r>
      <w:r>
        <w:rPr>
          <w:rFonts w:hint="eastAsia"/>
          <w:color w:val="000000" w:themeColor="text1"/>
        </w:rPr>
        <w:t>。（图</w:t>
      </w:r>
      <w:r>
        <w:rPr>
          <w:rFonts w:hint="eastAsia"/>
          <w:color w:val="000000" w:themeColor="text1"/>
        </w:rPr>
        <w:t>13</w:t>
      </w:r>
      <w:r>
        <w:rPr>
          <w:rFonts w:hint="eastAsia"/>
          <w:color w:val="000000" w:themeColor="text1"/>
        </w:rPr>
        <w:t>）</w:t>
      </w:r>
    </w:p>
    <w:p w:rsidR="008D2F4E" w:rsidRDefault="008D2F4E" w:rsidP="008D2F4E">
      <w:pPr>
        <w:keepNext/>
        <w:spacing w:before="100" w:beforeAutospacing="1"/>
        <w:jc w:val="center"/>
        <w:rPr>
          <w:color w:val="000000" w:themeColor="text1"/>
        </w:rPr>
      </w:pPr>
      <w:r>
        <w:rPr>
          <w:noProof/>
          <w:color w:val="000000" w:themeColor="text1"/>
        </w:rPr>
        <w:drawing>
          <wp:inline distT="0" distB="0" distL="0" distR="0" wp14:anchorId="2CA37262" wp14:editId="1567F637">
            <wp:extent cx="3754800" cy="2232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54800" cy="2232000"/>
                    </a:xfrm>
                    <a:prstGeom prst="rect">
                      <a:avLst/>
                    </a:prstGeom>
                    <a:noFill/>
                    <a:ln>
                      <a:noFill/>
                    </a:ln>
                  </pic:spPr>
                </pic:pic>
              </a:graphicData>
            </a:graphic>
          </wp:inline>
        </w:drawing>
      </w:r>
    </w:p>
    <w:p w:rsidR="008D2F4E" w:rsidRDefault="008D2F4E" w:rsidP="008D2F4E">
      <w:pPr>
        <w:pStyle w:val="ac"/>
        <w:jc w:val="center"/>
        <w:rPr>
          <w:color w:val="000000" w:themeColor="text1"/>
        </w:rPr>
      </w:pPr>
      <w:bookmarkStart w:id="15" w:name="_Ref390797258"/>
      <w:r>
        <w:rPr>
          <w:rFonts w:hint="eastAsia"/>
          <w:color w:val="000000" w:themeColor="text1"/>
        </w:rPr>
        <w:t>图</w:t>
      </w:r>
      <w:bookmarkEnd w:id="15"/>
      <w:r>
        <w:rPr>
          <w:rFonts w:hint="eastAsia"/>
          <w:color w:val="000000" w:themeColor="text1"/>
        </w:rPr>
        <w:t>13</w:t>
      </w:r>
      <w:r>
        <w:rPr>
          <w:color w:val="000000" w:themeColor="text1"/>
        </w:rPr>
        <w:t xml:space="preserve">  201</w:t>
      </w:r>
      <w:r>
        <w:rPr>
          <w:rFonts w:hint="eastAsia"/>
          <w:color w:val="000000" w:themeColor="text1"/>
        </w:rPr>
        <w:t>8</w:t>
      </w:r>
      <w:r>
        <w:rPr>
          <w:rFonts w:hint="eastAsia"/>
          <w:color w:val="000000" w:themeColor="text1"/>
        </w:rPr>
        <w:t>年</w:t>
      </w:r>
      <w:r>
        <w:rPr>
          <w:rFonts w:hint="eastAsia"/>
          <w:color w:val="000000" w:themeColor="text1"/>
        </w:rPr>
        <w:t>1-12</w:t>
      </w:r>
      <w:r>
        <w:rPr>
          <w:color w:val="000000" w:themeColor="text1"/>
        </w:rPr>
        <w:t>月</w:t>
      </w:r>
      <w:r>
        <w:rPr>
          <w:rFonts w:hint="eastAsia"/>
          <w:color w:val="000000" w:themeColor="text1"/>
        </w:rPr>
        <w:t>份台州各县市区</w:t>
      </w:r>
      <w:r>
        <w:rPr>
          <w:color w:val="000000" w:themeColor="text1"/>
        </w:rPr>
        <w:t>对外经济合作情况（</w:t>
      </w:r>
      <w:r>
        <w:rPr>
          <w:rFonts w:hint="eastAsia"/>
          <w:color w:val="000000" w:themeColor="text1"/>
        </w:rPr>
        <w:t>万美元</w:t>
      </w:r>
      <w:r>
        <w:rPr>
          <w:color w:val="000000" w:themeColor="text1"/>
        </w:rPr>
        <w:t>）</w:t>
      </w:r>
    </w:p>
    <w:p w:rsidR="008D2F4E" w:rsidRDefault="008D2F4E" w:rsidP="008D2F4E">
      <w:pPr>
        <w:keepNext/>
        <w:keepLines/>
        <w:tabs>
          <w:tab w:val="left" w:pos="851"/>
        </w:tabs>
        <w:spacing w:before="100" w:beforeAutospacing="1" w:after="100" w:afterAutospacing="1"/>
        <w:ind w:firstLineChars="200" w:firstLine="420"/>
        <w:rPr>
          <w:rFonts w:ascii="黑体" w:eastAsia="黑体" w:hAnsi="黑体"/>
          <w:color w:val="000000" w:themeColor="text1"/>
        </w:rPr>
      </w:pPr>
      <w:r>
        <w:rPr>
          <w:rFonts w:ascii="黑体" w:eastAsia="黑体" w:hAnsi="黑体" w:hint="eastAsia"/>
          <w:color w:val="000000" w:themeColor="text1"/>
        </w:rPr>
        <w:t>六、服务贸易</w:t>
      </w:r>
    </w:p>
    <w:p w:rsidR="008D2F4E" w:rsidRDefault="008D2F4E" w:rsidP="008D2F4E">
      <w:pPr>
        <w:spacing w:before="100" w:beforeAutospacing="1" w:after="100" w:afterAutospacing="1"/>
        <w:ind w:firstLineChars="200" w:firstLine="420"/>
        <w:rPr>
          <w:color w:val="000000" w:themeColor="text1"/>
        </w:rPr>
      </w:pPr>
      <w:r>
        <w:rPr>
          <w:rFonts w:hint="eastAsia"/>
          <w:color w:val="000000" w:themeColor="text1"/>
        </w:rPr>
        <w:t>1-12</w:t>
      </w:r>
      <w:r>
        <w:rPr>
          <w:rFonts w:hint="eastAsia"/>
          <w:color w:val="000000" w:themeColor="text1"/>
        </w:rPr>
        <w:t>月份，全市服务贸易进出口总额</w:t>
      </w:r>
      <w:r>
        <w:rPr>
          <w:rFonts w:hint="eastAsia"/>
          <w:color w:val="000000" w:themeColor="text1"/>
        </w:rPr>
        <w:t>86.6</w:t>
      </w:r>
      <w:r>
        <w:rPr>
          <w:rFonts w:hint="eastAsia"/>
          <w:color w:val="000000" w:themeColor="text1"/>
        </w:rPr>
        <w:t>亿元，其中：出口额</w:t>
      </w:r>
      <w:r>
        <w:rPr>
          <w:rFonts w:hint="eastAsia"/>
          <w:color w:val="000000" w:themeColor="text1"/>
        </w:rPr>
        <w:t>54.4</w:t>
      </w:r>
      <w:r>
        <w:rPr>
          <w:rFonts w:hint="eastAsia"/>
          <w:color w:val="000000" w:themeColor="text1"/>
        </w:rPr>
        <w:t>亿元，前三大出口领域分别为运输服务、计算机和信息服务、建筑及相关工程服务，合计</w:t>
      </w:r>
      <w:r>
        <w:rPr>
          <w:rFonts w:hint="eastAsia"/>
          <w:color w:val="000000" w:themeColor="text1"/>
        </w:rPr>
        <w:t>48.1</w:t>
      </w:r>
      <w:r>
        <w:rPr>
          <w:rFonts w:hint="eastAsia"/>
          <w:color w:val="000000" w:themeColor="text1"/>
        </w:rPr>
        <w:t>亿元；进口额</w:t>
      </w:r>
      <w:r>
        <w:rPr>
          <w:rFonts w:hint="eastAsia"/>
          <w:color w:val="000000" w:themeColor="text1"/>
        </w:rPr>
        <w:t>32.2</w:t>
      </w:r>
      <w:r>
        <w:rPr>
          <w:rFonts w:hint="eastAsia"/>
          <w:color w:val="000000" w:themeColor="text1"/>
        </w:rPr>
        <w:t>亿元，前三大</w:t>
      </w:r>
      <w:r>
        <w:rPr>
          <w:rFonts w:hint="eastAsia"/>
          <w:color w:val="000000" w:themeColor="text1"/>
        </w:rPr>
        <w:lastRenderedPageBreak/>
        <w:t>进口领域分别为旅游服务、其他商业服务和运输服务，合计</w:t>
      </w:r>
      <w:r>
        <w:rPr>
          <w:rFonts w:hint="eastAsia"/>
          <w:color w:val="000000" w:themeColor="text1"/>
        </w:rPr>
        <w:t>31.1</w:t>
      </w:r>
      <w:r>
        <w:rPr>
          <w:rFonts w:hint="eastAsia"/>
          <w:color w:val="000000" w:themeColor="text1"/>
        </w:rPr>
        <w:t>亿元。</w:t>
      </w:r>
      <w:r>
        <w:rPr>
          <w:rFonts w:hint="eastAsia"/>
          <w:color w:val="000000" w:themeColor="text1"/>
        </w:rPr>
        <w:t>1-12</w:t>
      </w:r>
      <w:r>
        <w:rPr>
          <w:rFonts w:hint="eastAsia"/>
          <w:color w:val="000000" w:themeColor="text1"/>
        </w:rPr>
        <w:t>月份，全市服务外包离岸合同执行</w:t>
      </w:r>
      <w:proofErr w:type="gramStart"/>
      <w:r>
        <w:rPr>
          <w:rFonts w:hint="eastAsia"/>
          <w:color w:val="000000" w:themeColor="text1"/>
        </w:rPr>
        <w:t>额实现</w:t>
      </w:r>
      <w:proofErr w:type="gramEnd"/>
      <w:r>
        <w:rPr>
          <w:rFonts w:hint="eastAsia"/>
          <w:color w:val="000000" w:themeColor="text1"/>
        </w:rPr>
        <w:t>8470</w:t>
      </w:r>
      <w:r>
        <w:rPr>
          <w:rFonts w:hint="eastAsia"/>
          <w:color w:val="000000" w:themeColor="text1"/>
        </w:rPr>
        <w:t>万美元，同比增长</w:t>
      </w:r>
      <w:r>
        <w:rPr>
          <w:rFonts w:hint="eastAsia"/>
          <w:color w:val="000000" w:themeColor="text1"/>
        </w:rPr>
        <w:t>49.1%</w:t>
      </w:r>
      <w:r>
        <w:rPr>
          <w:rFonts w:hint="eastAsia"/>
          <w:color w:val="000000" w:themeColor="text1"/>
        </w:rPr>
        <w:t>，实现全年目标的</w:t>
      </w:r>
      <w:r>
        <w:rPr>
          <w:rFonts w:hint="eastAsia"/>
          <w:color w:val="000000" w:themeColor="text1"/>
        </w:rPr>
        <w:t>153.5%</w:t>
      </w:r>
      <w:r>
        <w:rPr>
          <w:rFonts w:hint="eastAsia"/>
          <w:color w:val="000000" w:themeColor="text1"/>
        </w:rPr>
        <w:t>。</w:t>
      </w:r>
    </w:p>
    <w:p w:rsidR="008D2F4E" w:rsidRDefault="008D2F4E" w:rsidP="008D2F4E">
      <w:pPr>
        <w:keepNext/>
        <w:keepLines/>
        <w:tabs>
          <w:tab w:val="left" w:pos="851"/>
        </w:tabs>
        <w:spacing w:before="100" w:beforeAutospacing="1" w:after="100" w:afterAutospacing="1"/>
        <w:ind w:firstLineChars="200" w:firstLine="420"/>
        <w:rPr>
          <w:rFonts w:ascii="黑体" w:eastAsia="黑体" w:hAnsi="黑体"/>
          <w:color w:val="000000" w:themeColor="text1"/>
        </w:rPr>
      </w:pPr>
      <w:r>
        <w:rPr>
          <w:rFonts w:ascii="黑体" w:eastAsia="黑体" w:hAnsi="黑体" w:hint="eastAsia"/>
          <w:color w:val="000000" w:themeColor="text1"/>
        </w:rPr>
        <w:t>七、电子商务</w:t>
      </w:r>
    </w:p>
    <w:p w:rsidR="008D2F4E" w:rsidRDefault="008D2F4E" w:rsidP="008D2F4E">
      <w:pPr>
        <w:spacing w:before="100" w:beforeAutospacing="1" w:after="100" w:afterAutospacing="1"/>
        <w:ind w:firstLineChars="200" w:firstLine="420"/>
        <w:rPr>
          <w:color w:val="000000" w:themeColor="text1"/>
        </w:rPr>
      </w:pPr>
      <w:r>
        <w:rPr>
          <w:rFonts w:hint="eastAsia"/>
          <w:color w:val="000000" w:themeColor="text1"/>
        </w:rPr>
        <w:t>1-12</w:t>
      </w:r>
      <w:r>
        <w:rPr>
          <w:color w:val="000000" w:themeColor="text1"/>
        </w:rPr>
        <w:t>月份，</w:t>
      </w:r>
      <w:r>
        <w:rPr>
          <w:rFonts w:hint="eastAsia"/>
          <w:color w:val="000000" w:themeColor="text1"/>
        </w:rPr>
        <w:t>全市网络零售额</w:t>
      </w:r>
      <w:r>
        <w:rPr>
          <w:rFonts w:hint="eastAsia"/>
          <w:color w:val="000000" w:themeColor="text1"/>
        </w:rPr>
        <w:t>1191.4</w:t>
      </w:r>
      <w:r>
        <w:rPr>
          <w:rFonts w:hint="eastAsia"/>
          <w:color w:val="000000" w:themeColor="text1"/>
        </w:rPr>
        <w:t>亿元，列全省第六，同比增长</w:t>
      </w:r>
      <w:r>
        <w:rPr>
          <w:rFonts w:hint="eastAsia"/>
          <w:color w:val="000000" w:themeColor="text1"/>
        </w:rPr>
        <w:t>26.0%</w:t>
      </w:r>
      <w:r>
        <w:rPr>
          <w:rFonts w:hint="eastAsia"/>
          <w:color w:val="000000" w:themeColor="text1"/>
        </w:rPr>
        <w:t>，增速高于</w:t>
      </w:r>
      <w:r>
        <w:rPr>
          <w:color w:val="000000" w:themeColor="text1"/>
        </w:rPr>
        <w:t>全省平均</w:t>
      </w:r>
      <w:r>
        <w:rPr>
          <w:rFonts w:hint="eastAsia"/>
          <w:color w:val="000000" w:themeColor="text1"/>
        </w:rPr>
        <w:t>0.6</w:t>
      </w:r>
      <w:r>
        <w:rPr>
          <w:rFonts w:hint="eastAsia"/>
          <w:color w:val="000000" w:themeColor="text1"/>
        </w:rPr>
        <w:t>个</w:t>
      </w:r>
      <w:r>
        <w:rPr>
          <w:color w:val="000000" w:themeColor="text1"/>
        </w:rPr>
        <w:t>百分点，</w:t>
      </w:r>
      <w:r>
        <w:rPr>
          <w:rFonts w:hint="eastAsia"/>
          <w:color w:val="000000" w:themeColor="text1"/>
        </w:rPr>
        <w:t>位居全省第六；居民网络消费额</w:t>
      </w:r>
      <w:r>
        <w:rPr>
          <w:rFonts w:hint="eastAsia"/>
          <w:color w:val="000000" w:themeColor="text1"/>
        </w:rPr>
        <w:t>680.3</w:t>
      </w:r>
      <w:r>
        <w:rPr>
          <w:rFonts w:hint="eastAsia"/>
          <w:color w:val="000000" w:themeColor="text1"/>
        </w:rPr>
        <w:t>亿元，列全省第五，同比增长</w:t>
      </w:r>
      <w:r>
        <w:rPr>
          <w:rFonts w:hint="eastAsia"/>
          <w:color w:val="000000" w:themeColor="text1"/>
        </w:rPr>
        <w:t>26.6%</w:t>
      </w:r>
      <w:r>
        <w:rPr>
          <w:rFonts w:hint="eastAsia"/>
          <w:color w:val="000000" w:themeColor="text1"/>
        </w:rPr>
        <w:t>，增速比全省平均高</w:t>
      </w:r>
      <w:r>
        <w:rPr>
          <w:rFonts w:hint="eastAsia"/>
          <w:color w:val="000000" w:themeColor="text1"/>
        </w:rPr>
        <w:t>1.6</w:t>
      </w:r>
      <w:r>
        <w:rPr>
          <w:rFonts w:hint="eastAsia"/>
          <w:color w:val="000000" w:themeColor="text1"/>
        </w:rPr>
        <w:t>个百分点，列全省第三；全市网络消费净流入（顺差）达</w:t>
      </w:r>
      <w:r>
        <w:rPr>
          <w:rFonts w:hint="eastAsia"/>
          <w:color w:val="000000" w:themeColor="text1"/>
        </w:rPr>
        <w:t>511.1</w:t>
      </w:r>
      <w:r>
        <w:rPr>
          <w:rFonts w:hint="eastAsia"/>
          <w:color w:val="000000" w:themeColor="text1"/>
        </w:rPr>
        <w:t>亿元。</w:t>
      </w:r>
      <w:r w:rsidRPr="002B7D58">
        <w:rPr>
          <w:rFonts w:hint="eastAsia"/>
          <w:color w:val="000000" w:themeColor="text1"/>
        </w:rPr>
        <w:t>12</w:t>
      </w:r>
      <w:r w:rsidRPr="002B7D58">
        <w:rPr>
          <w:rFonts w:hint="eastAsia"/>
          <w:color w:val="000000" w:themeColor="text1"/>
        </w:rPr>
        <w:t>月单月，我市网络零售额</w:t>
      </w:r>
      <w:r w:rsidRPr="002B7D58">
        <w:rPr>
          <w:rFonts w:hint="eastAsia"/>
          <w:color w:val="000000" w:themeColor="text1"/>
        </w:rPr>
        <w:t>119.7</w:t>
      </w:r>
      <w:r w:rsidRPr="002B7D58">
        <w:rPr>
          <w:rFonts w:hint="eastAsia"/>
          <w:color w:val="000000" w:themeColor="text1"/>
        </w:rPr>
        <w:t>亿元，同比增长</w:t>
      </w:r>
      <w:r w:rsidRPr="002B7D58">
        <w:rPr>
          <w:rFonts w:hint="eastAsia"/>
          <w:color w:val="000000" w:themeColor="text1"/>
        </w:rPr>
        <w:t>27.9%</w:t>
      </w:r>
      <w:r w:rsidRPr="002B7D58">
        <w:rPr>
          <w:rFonts w:hint="eastAsia"/>
          <w:color w:val="000000" w:themeColor="text1"/>
        </w:rPr>
        <w:t>；居民网络消费额</w:t>
      </w:r>
      <w:r w:rsidRPr="002B7D58">
        <w:rPr>
          <w:rFonts w:hint="eastAsia"/>
          <w:color w:val="000000" w:themeColor="text1"/>
        </w:rPr>
        <w:t>79.6</w:t>
      </w:r>
      <w:r w:rsidRPr="002B7D58">
        <w:rPr>
          <w:rFonts w:hint="eastAsia"/>
          <w:color w:val="000000" w:themeColor="text1"/>
        </w:rPr>
        <w:t>亿元，同比增长</w:t>
      </w:r>
      <w:r w:rsidRPr="002B7D58">
        <w:rPr>
          <w:rFonts w:hint="eastAsia"/>
          <w:color w:val="000000" w:themeColor="text1"/>
        </w:rPr>
        <w:t>25.8%</w:t>
      </w:r>
      <w:r w:rsidRPr="002B7D58">
        <w:rPr>
          <w:rFonts w:hint="eastAsia"/>
          <w:color w:val="000000" w:themeColor="text1"/>
        </w:rPr>
        <w:t>。</w:t>
      </w:r>
      <w:r>
        <w:rPr>
          <w:rFonts w:hint="eastAsia"/>
          <w:color w:val="000000" w:themeColor="text1"/>
        </w:rPr>
        <w:t>（图</w:t>
      </w:r>
      <w:r>
        <w:rPr>
          <w:rFonts w:hint="eastAsia"/>
          <w:color w:val="000000" w:themeColor="text1"/>
        </w:rPr>
        <w:t>14</w:t>
      </w:r>
      <w:r>
        <w:rPr>
          <w:rFonts w:hint="eastAsia"/>
          <w:color w:val="000000" w:themeColor="text1"/>
        </w:rPr>
        <w:t>）</w:t>
      </w:r>
    </w:p>
    <w:p w:rsidR="008D2F4E" w:rsidRDefault="008D2F4E" w:rsidP="008D2F4E">
      <w:pPr>
        <w:spacing w:before="100" w:beforeAutospacing="1" w:after="100" w:afterAutospacing="1"/>
        <w:ind w:firstLineChars="200" w:firstLine="420"/>
        <w:rPr>
          <w:color w:val="000000" w:themeColor="text1"/>
        </w:rPr>
      </w:pPr>
      <w:r w:rsidRPr="00230CEB">
        <w:rPr>
          <w:rFonts w:hint="eastAsia"/>
          <w:color w:val="000000" w:themeColor="text1"/>
        </w:rPr>
        <w:t>县市区间电商发展不平衡，其中网络零售额第一天台</w:t>
      </w:r>
      <w:r>
        <w:rPr>
          <w:rFonts w:hint="eastAsia"/>
          <w:color w:val="000000" w:themeColor="text1"/>
        </w:rPr>
        <w:t>273.17</w:t>
      </w:r>
      <w:r w:rsidRPr="00230CEB">
        <w:rPr>
          <w:rFonts w:hint="eastAsia"/>
          <w:color w:val="000000" w:themeColor="text1"/>
        </w:rPr>
        <w:t>亿元，同比增长</w:t>
      </w:r>
      <w:r>
        <w:rPr>
          <w:rFonts w:hint="eastAsia"/>
          <w:color w:val="000000" w:themeColor="text1"/>
        </w:rPr>
        <w:t>34.2</w:t>
      </w:r>
      <w:r w:rsidRPr="00230CEB">
        <w:rPr>
          <w:rFonts w:hint="eastAsia"/>
          <w:color w:val="000000" w:themeColor="text1"/>
        </w:rPr>
        <w:t>%</w:t>
      </w:r>
      <w:r w:rsidRPr="00230CEB">
        <w:rPr>
          <w:rFonts w:hint="eastAsia"/>
          <w:color w:val="000000" w:themeColor="text1"/>
        </w:rPr>
        <w:t>；第二</w:t>
      </w:r>
      <w:r>
        <w:rPr>
          <w:rFonts w:hint="eastAsia"/>
          <w:color w:val="000000" w:themeColor="text1"/>
        </w:rPr>
        <w:t>温岭</w:t>
      </w:r>
      <w:r>
        <w:rPr>
          <w:rFonts w:hint="eastAsia"/>
          <w:color w:val="000000" w:themeColor="text1"/>
        </w:rPr>
        <w:t>187.35</w:t>
      </w:r>
      <w:r w:rsidRPr="00230CEB">
        <w:rPr>
          <w:rFonts w:hint="eastAsia"/>
          <w:color w:val="000000" w:themeColor="text1"/>
        </w:rPr>
        <w:t>亿元，同比增长</w:t>
      </w:r>
      <w:r>
        <w:rPr>
          <w:rFonts w:hint="eastAsia"/>
          <w:color w:val="000000" w:themeColor="text1"/>
        </w:rPr>
        <w:t>23.5</w:t>
      </w:r>
      <w:r w:rsidRPr="00230CEB">
        <w:rPr>
          <w:rFonts w:hint="eastAsia"/>
          <w:color w:val="000000" w:themeColor="text1"/>
        </w:rPr>
        <w:t>%</w:t>
      </w:r>
      <w:r>
        <w:rPr>
          <w:rFonts w:hint="eastAsia"/>
          <w:color w:val="000000" w:themeColor="text1"/>
        </w:rPr>
        <w:t>；第三黄岩</w:t>
      </w:r>
      <w:r>
        <w:rPr>
          <w:rFonts w:hint="eastAsia"/>
          <w:color w:val="000000" w:themeColor="text1"/>
        </w:rPr>
        <w:t>177.62</w:t>
      </w:r>
      <w:r w:rsidRPr="00230CEB">
        <w:rPr>
          <w:rFonts w:hint="eastAsia"/>
          <w:color w:val="000000" w:themeColor="text1"/>
        </w:rPr>
        <w:t>亿元，同比增长</w:t>
      </w:r>
      <w:r>
        <w:rPr>
          <w:rFonts w:hint="eastAsia"/>
          <w:color w:val="000000" w:themeColor="text1"/>
        </w:rPr>
        <w:t>22.5</w:t>
      </w:r>
      <w:r w:rsidRPr="00230CEB">
        <w:rPr>
          <w:rFonts w:hint="eastAsia"/>
          <w:color w:val="000000" w:themeColor="text1"/>
        </w:rPr>
        <w:t>%</w:t>
      </w:r>
      <w:r w:rsidRPr="00230CEB">
        <w:rPr>
          <w:rFonts w:hint="eastAsia"/>
          <w:color w:val="000000" w:themeColor="text1"/>
        </w:rPr>
        <w:t>。另有三地相对落后，玉环</w:t>
      </w:r>
      <w:r>
        <w:rPr>
          <w:rFonts w:hint="eastAsia"/>
          <w:color w:val="000000" w:themeColor="text1"/>
        </w:rPr>
        <w:t>34.82</w:t>
      </w:r>
      <w:r w:rsidRPr="00230CEB">
        <w:rPr>
          <w:rFonts w:hint="eastAsia"/>
          <w:color w:val="000000" w:themeColor="text1"/>
        </w:rPr>
        <w:t>亿元、仙居</w:t>
      </w:r>
      <w:r>
        <w:rPr>
          <w:rFonts w:hint="eastAsia"/>
          <w:color w:val="000000" w:themeColor="text1"/>
        </w:rPr>
        <w:t>38.10</w:t>
      </w:r>
      <w:r w:rsidRPr="00230CEB">
        <w:rPr>
          <w:rFonts w:hint="eastAsia"/>
          <w:color w:val="000000" w:themeColor="text1"/>
        </w:rPr>
        <w:t>亿元和三门</w:t>
      </w:r>
      <w:r>
        <w:rPr>
          <w:rFonts w:hint="eastAsia"/>
          <w:color w:val="000000" w:themeColor="text1"/>
        </w:rPr>
        <w:t>59.12</w:t>
      </w:r>
      <w:r w:rsidRPr="00230CEB">
        <w:rPr>
          <w:rFonts w:hint="eastAsia"/>
          <w:color w:val="000000" w:themeColor="text1"/>
        </w:rPr>
        <w:t>亿元。</w:t>
      </w:r>
      <w:r>
        <w:rPr>
          <w:rFonts w:hint="eastAsia"/>
          <w:color w:val="000000" w:themeColor="text1"/>
        </w:rPr>
        <w:t>（</w:t>
      </w:r>
      <w:r>
        <w:rPr>
          <w:color w:val="000000" w:themeColor="text1"/>
        </w:rPr>
        <w:t>图</w:t>
      </w:r>
      <w:r>
        <w:rPr>
          <w:rFonts w:hint="eastAsia"/>
          <w:color w:val="000000" w:themeColor="text1"/>
        </w:rPr>
        <w:t>15</w:t>
      </w:r>
      <w:r>
        <w:rPr>
          <w:color w:val="000000" w:themeColor="text1"/>
        </w:rPr>
        <w:t>）</w:t>
      </w:r>
    </w:p>
    <w:p w:rsidR="008D2F4E" w:rsidRPr="000242CF" w:rsidRDefault="008D2F4E" w:rsidP="008D2F4E">
      <w:pPr>
        <w:spacing w:before="100" w:beforeAutospacing="1" w:after="100" w:afterAutospacing="1"/>
        <w:ind w:firstLineChars="200" w:firstLine="420"/>
        <w:rPr>
          <w:color w:val="000000" w:themeColor="text1"/>
        </w:rPr>
      </w:pPr>
      <w:r>
        <w:rPr>
          <w:rFonts w:eastAsia="楷体_GB2312"/>
          <w:color w:val="000000" w:themeColor="text1"/>
        </w:rPr>
        <w:t>1</w:t>
      </w:r>
      <w:r>
        <w:rPr>
          <w:color w:val="000000" w:themeColor="text1"/>
        </w:rPr>
        <w:t>-</w:t>
      </w:r>
      <w:r>
        <w:rPr>
          <w:rFonts w:hint="eastAsia"/>
          <w:color w:val="000000" w:themeColor="text1"/>
        </w:rPr>
        <w:t>12</w:t>
      </w:r>
      <w:r>
        <w:rPr>
          <w:rFonts w:hint="eastAsia"/>
          <w:color w:val="000000" w:themeColor="text1"/>
        </w:rPr>
        <w:t>月份，跨境电商网络零售出口额</w:t>
      </w:r>
      <w:r>
        <w:rPr>
          <w:rFonts w:hint="eastAsia"/>
          <w:color w:val="000000" w:themeColor="text1"/>
        </w:rPr>
        <w:t>10.7</w:t>
      </w:r>
      <w:r>
        <w:rPr>
          <w:rFonts w:hint="eastAsia"/>
          <w:color w:val="000000" w:themeColor="text1"/>
        </w:rPr>
        <w:t>亿元，规模居全省第五，同比增长</w:t>
      </w:r>
      <w:r>
        <w:rPr>
          <w:rFonts w:hint="eastAsia"/>
          <w:color w:val="000000" w:themeColor="text1"/>
        </w:rPr>
        <w:t>30.4%</w:t>
      </w:r>
      <w:r>
        <w:rPr>
          <w:rFonts w:hint="eastAsia"/>
          <w:color w:val="000000" w:themeColor="text1"/>
        </w:rPr>
        <w:t>。</w:t>
      </w:r>
    </w:p>
    <w:p w:rsidR="008D2F4E" w:rsidRDefault="008D2F4E" w:rsidP="008D2F4E">
      <w:pPr>
        <w:keepNext/>
        <w:spacing w:before="100" w:beforeAutospacing="1"/>
        <w:jc w:val="center"/>
        <w:rPr>
          <w:color w:val="000000" w:themeColor="text1"/>
        </w:rPr>
      </w:pPr>
      <w:r>
        <w:rPr>
          <w:noProof/>
          <w:color w:val="000000" w:themeColor="text1"/>
        </w:rPr>
        <w:drawing>
          <wp:inline distT="0" distB="0" distL="0" distR="0" wp14:anchorId="505D62F0" wp14:editId="29A96B8D">
            <wp:extent cx="3661200" cy="21960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61200" cy="2196000"/>
                    </a:xfrm>
                    <a:prstGeom prst="rect">
                      <a:avLst/>
                    </a:prstGeom>
                    <a:noFill/>
                    <a:ln>
                      <a:noFill/>
                    </a:ln>
                  </pic:spPr>
                </pic:pic>
              </a:graphicData>
            </a:graphic>
          </wp:inline>
        </w:drawing>
      </w:r>
    </w:p>
    <w:p w:rsidR="008D2F4E" w:rsidRDefault="008D2F4E" w:rsidP="008D2F4E">
      <w:pPr>
        <w:pStyle w:val="ac"/>
        <w:jc w:val="center"/>
        <w:rPr>
          <w:color w:val="000000" w:themeColor="text1"/>
        </w:rPr>
      </w:pPr>
      <w:bookmarkStart w:id="16" w:name="_Ref401863696"/>
      <w:r>
        <w:rPr>
          <w:rFonts w:hint="eastAsia"/>
          <w:color w:val="000000" w:themeColor="text1"/>
        </w:rPr>
        <w:t>图</w:t>
      </w:r>
      <w:bookmarkEnd w:id="16"/>
      <w:r>
        <w:rPr>
          <w:rFonts w:hint="eastAsia"/>
          <w:color w:val="000000" w:themeColor="text1"/>
        </w:rPr>
        <w:t>14</w:t>
      </w:r>
      <w:r>
        <w:rPr>
          <w:color w:val="000000" w:themeColor="text1"/>
        </w:rPr>
        <w:t xml:space="preserve">  201</w:t>
      </w:r>
      <w:r>
        <w:rPr>
          <w:rFonts w:hint="eastAsia"/>
          <w:color w:val="000000" w:themeColor="text1"/>
        </w:rPr>
        <w:t>8</w:t>
      </w:r>
      <w:r>
        <w:rPr>
          <w:rFonts w:hint="eastAsia"/>
          <w:color w:val="000000" w:themeColor="text1"/>
        </w:rPr>
        <w:t>年</w:t>
      </w:r>
      <w:r>
        <w:rPr>
          <w:rFonts w:hint="eastAsia"/>
          <w:color w:val="000000" w:themeColor="text1"/>
        </w:rPr>
        <w:t>1-12</w:t>
      </w:r>
      <w:r>
        <w:rPr>
          <w:rFonts w:hint="eastAsia"/>
          <w:color w:val="000000" w:themeColor="text1"/>
        </w:rPr>
        <w:t>月份浙江省各市网络零售及</w:t>
      </w:r>
      <w:r>
        <w:rPr>
          <w:color w:val="000000" w:themeColor="text1"/>
        </w:rPr>
        <w:t>居民消费情况（</w:t>
      </w:r>
      <w:r>
        <w:rPr>
          <w:rFonts w:hint="eastAsia"/>
          <w:color w:val="000000" w:themeColor="text1"/>
        </w:rPr>
        <w:t>亿元</w:t>
      </w:r>
      <w:r>
        <w:rPr>
          <w:color w:val="000000" w:themeColor="text1"/>
        </w:rPr>
        <w:t>）</w:t>
      </w:r>
    </w:p>
    <w:p w:rsidR="008D2F4E" w:rsidRPr="00735E1E" w:rsidRDefault="008D2F4E" w:rsidP="008D2F4E">
      <w:pPr>
        <w:rPr>
          <w:color w:val="000000" w:themeColor="text1"/>
        </w:rPr>
      </w:pPr>
    </w:p>
    <w:p w:rsidR="008D2F4E" w:rsidRDefault="008D2F4E" w:rsidP="008D2F4E">
      <w:pPr>
        <w:jc w:val="center"/>
        <w:rPr>
          <w:color w:val="000000" w:themeColor="text1"/>
        </w:rPr>
      </w:pPr>
      <w:r>
        <w:rPr>
          <w:noProof/>
          <w:color w:val="000000" w:themeColor="text1"/>
        </w:rPr>
        <w:drawing>
          <wp:inline distT="0" distB="0" distL="0" distR="0" wp14:anchorId="638FDC4F" wp14:editId="2103A59B">
            <wp:extent cx="3434400" cy="20592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34400" cy="2059200"/>
                    </a:xfrm>
                    <a:prstGeom prst="rect">
                      <a:avLst/>
                    </a:prstGeom>
                    <a:noFill/>
                    <a:ln>
                      <a:noFill/>
                    </a:ln>
                  </pic:spPr>
                </pic:pic>
              </a:graphicData>
            </a:graphic>
          </wp:inline>
        </w:drawing>
      </w:r>
    </w:p>
    <w:p w:rsidR="008D2F4E" w:rsidRPr="008D2F4E" w:rsidRDefault="008D2F4E" w:rsidP="008D2F4E">
      <w:pPr>
        <w:pStyle w:val="ac"/>
        <w:jc w:val="center"/>
        <w:rPr>
          <w:color w:val="000000" w:themeColor="text1"/>
        </w:rPr>
        <w:sectPr w:rsidR="008D2F4E" w:rsidRPr="008D2F4E" w:rsidSect="00200601">
          <w:footerReference w:type="default" r:id="rId27"/>
          <w:pgSz w:w="11906" w:h="16838" w:code="9"/>
          <w:pgMar w:top="1440" w:right="1418" w:bottom="1440" w:left="1418" w:header="851" w:footer="992" w:gutter="0"/>
          <w:pgNumType w:start="1"/>
          <w:cols w:space="425"/>
          <w:docGrid w:type="lines" w:linePitch="362"/>
        </w:sectPr>
      </w:pPr>
      <w:r>
        <w:rPr>
          <w:rFonts w:hint="eastAsia"/>
          <w:color w:val="000000" w:themeColor="text1"/>
        </w:rPr>
        <w:t>图</w:t>
      </w:r>
      <w:r>
        <w:rPr>
          <w:color w:val="000000" w:themeColor="text1"/>
        </w:rPr>
        <w:t>1</w:t>
      </w:r>
      <w:r>
        <w:rPr>
          <w:rFonts w:hint="eastAsia"/>
          <w:color w:val="000000" w:themeColor="text1"/>
        </w:rPr>
        <w:t>5</w:t>
      </w:r>
      <w:r>
        <w:rPr>
          <w:color w:val="000000" w:themeColor="text1"/>
        </w:rPr>
        <w:t xml:space="preserve">  201</w:t>
      </w:r>
      <w:r>
        <w:rPr>
          <w:rFonts w:hint="eastAsia"/>
          <w:color w:val="000000" w:themeColor="text1"/>
        </w:rPr>
        <w:t>8</w:t>
      </w:r>
      <w:r>
        <w:rPr>
          <w:rFonts w:hint="eastAsia"/>
          <w:color w:val="000000" w:themeColor="text1"/>
        </w:rPr>
        <w:t>年</w:t>
      </w:r>
      <w:r>
        <w:rPr>
          <w:rFonts w:hint="eastAsia"/>
          <w:color w:val="000000" w:themeColor="text1"/>
        </w:rPr>
        <w:t>1-12</w:t>
      </w:r>
      <w:r>
        <w:rPr>
          <w:rFonts w:hint="eastAsia"/>
          <w:color w:val="000000" w:themeColor="text1"/>
        </w:rPr>
        <w:t>月份台州市各</w:t>
      </w:r>
      <w:r>
        <w:rPr>
          <w:color w:val="000000" w:themeColor="text1"/>
        </w:rPr>
        <w:t>县市区</w:t>
      </w:r>
      <w:r>
        <w:rPr>
          <w:rFonts w:hint="eastAsia"/>
          <w:color w:val="000000" w:themeColor="text1"/>
        </w:rPr>
        <w:t>网络零售</w:t>
      </w:r>
      <w:r>
        <w:rPr>
          <w:color w:val="000000" w:themeColor="text1"/>
        </w:rPr>
        <w:t>情况（</w:t>
      </w:r>
      <w:r>
        <w:rPr>
          <w:rFonts w:hint="eastAsia"/>
          <w:color w:val="000000" w:themeColor="text1"/>
        </w:rPr>
        <w:t>亿元</w:t>
      </w:r>
      <w:r>
        <w:rPr>
          <w:color w:val="000000" w:themeColor="text1"/>
        </w:rPr>
        <w:t>）</w:t>
      </w:r>
    </w:p>
    <w:p w:rsidR="00BE310F" w:rsidRPr="008D2F4E" w:rsidRDefault="00BE310F" w:rsidP="008D2F4E">
      <w:pPr>
        <w:tabs>
          <w:tab w:val="left" w:pos="2280"/>
        </w:tabs>
        <w:rPr>
          <w:rFonts w:ascii="Arial" w:hAnsi="Arial"/>
        </w:rPr>
      </w:pPr>
      <w:bookmarkStart w:id="17" w:name="_GoBack"/>
      <w:bookmarkEnd w:id="17"/>
    </w:p>
    <w:sectPr w:rsidR="00BE310F" w:rsidRPr="008D2F4E" w:rsidSect="008D2F4E">
      <w:footerReference w:type="default" r:id="rId28"/>
      <w:pgSz w:w="11906" w:h="16838" w:code="9"/>
      <w:pgMar w:top="1440" w:right="1418" w:bottom="1440" w:left="1418" w:header="851" w:footer="992" w:gutter="0"/>
      <w:cols w:space="425"/>
      <w:docGrid w:type="line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9EB" w:rsidRDefault="00A279EB" w:rsidP="00C12AD6">
      <w:r>
        <w:separator/>
      </w:r>
    </w:p>
  </w:endnote>
  <w:endnote w:type="continuationSeparator" w:id="0">
    <w:p w:rsidR="00A279EB" w:rsidRDefault="00A279EB" w:rsidP="00C1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F4E" w:rsidRDefault="008D2F4E" w:rsidP="00CE5441">
    <w:pPr>
      <w:pStyle w:val="a6"/>
      <w:ind w:left="420" w:hanging="420"/>
      <w:jc w:val="center"/>
    </w:pPr>
  </w:p>
  <w:p w:rsidR="008D2F4E" w:rsidRDefault="008D2F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F4E" w:rsidRDefault="008D2F4E" w:rsidP="005F1477">
    <w:pPr>
      <w:pStyle w:val="a6"/>
      <w:jc w:val="center"/>
    </w:pPr>
    <w:r>
      <w:t>2</w:t>
    </w:r>
    <w:r>
      <w:rPr>
        <w:rFonts w:hint="eastAsia"/>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039178"/>
      <w:docPartObj>
        <w:docPartGallery w:val="Page Numbers (Bottom of Page)"/>
        <w:docPartUnique/>
      </w:docPartObj>
    </w:sdtPr>
    <w:sdtContent>
      <w:p w:rsidR="008D2F4E" w:rsidRDefault="008D2F4E" w:rsidP="00CE5441">
        <w:pPr>
          <w:pStyle w:val="a6"/>
          <w:ind w:left="420" w:hanging="420"/>
          <w:jc w:val="center"/>
        </w:pPr>
        <w:r>
          <w:fldChar w:fldCharType="begin"/>
        </w:r>
        <w:r>
          <w:instrText>PAGE   \* MERGEFORMAT</w:instrText>
        </w:r>
        <w:r>
          <w:fldChar w:fldCharType="separate"/>
        </w:r>
        <w:r w:rsidRPr="008D2F4E">
          <w:rPr>
            <w:noProof/>
            <w:lang w:val="zh-CN"/>
          </w:rPr>
          <w:t>9</w:t>
        </w:r>
        <w:r>
          <w:fldChar w:fldCharType="end"/>
        </w:r>
      </w:p>
    </w:sdtContent>
  </w:sdt>
  <w:p w:rsidR="008D2F4E" w:rsidRDefault="008D2F4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1A0" w:rsidRPr="003E38DA" w:rsidRDefault="008861A0" w:rsidP="003E38DA">
    <w:pPr>
      <w:pStyle w:val="a6"/>
      <w:jc w:val="center"/>
    </w:pPr>
    <w:r>
      <w:t xml:space="preserve"> </w:t>
    </w:r>
    <w:r>
      <w:fldChar w:fldCharType="begin"/>
    </w:r>
    <w:r>
      <w:instrText>PAGE   \* MERGEFORMAT</w:instrText>
    </w:r>
    <w:r>
      <w:fldChar w:fldCharType="separate"/>
    </w:r>
    <w:r w:rsidR="008D2F4E" w:rsidRPr="008D2F4E">
      <w:rPr>
        <w:noProof/>
        <w:lang w:val="zh-CN"/>
      </w:rPr>
      <w:t>10</w:t>
    </w:r>
    <w:r>
      <w:rPr>
        <w:noProof/>
        <w:lang w:val="zh-CN"/>
      </w:rPr>
      <w:fldChar w:fldCharType="end"/>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9EB" w:rsidRDefault="00A279EB" w:rsidP="00C12AD6">
      <w:r>
        <w:separator/>
      </w:r>
    </w:p>
  </w:footnote>
  <w:footnote w:type="continuationSeparator" w:id="0">
    <w:p w:rsidR="00A279EB" w:rsidRDefault="00A279EB" w:rsidP="00C12A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3AE4B2"/>
    <w:lvl w:ilvl="0">
      <w:start w:val="1"/>
      <w:numFmt w:val="decimal"/>
      <w:pStyle w:val="5"/>
      <w:lvlText w:val="%1."/>
      <w:lvlJc w:val="left"/>
      <w:pPr>
        <w:tabs>
          <w:tab w:val="num" w:pos="2040"/>
        </w:tabs>
        <w:ind w:leftChars="800" w:left="2040" w:hangingChars="200" w:hanging="360"/>
      </w:pPr>
    </w:lvl>
  </w:abstractNum>
  <w:abstractNum w:abstractNumId="1">
    <w:nsid w:val="FFFFFF7D"/>
    <w:multiLevelType w:val="singleLevel"/>
    <w:tmpl w:val="D6B0AC82"/>
    <w:lvl w:ilvl="0">
      <w:start w:val="1"/>
      <w:numFmt w:val="decimal"/>
      <w:pStyle w:val="4"/>
      <w:lvlText w:val="%1."/>
      <w:lvlJc w:val="left"/>
      <w:pPr>
        <w:tabs>
          <w:tab w:val="num" w:pos="1620"/>
        </w:tabs>
        <w:ind w:leftChars="600" w:left="1620" w:hangingChars="200" w:hanging="360"/>
      </w:pPr>
    </w:lvl>
  </w:abstractNum>
  <w:abstractNum w:abstractNumId="2">
    <w:nsid w:val="FFFFFF7E"/>
    <w:multiLevelType w:val="singleLevel"/>
    <w:tmpl w:val="5D308EDC"/>
    <w:lvl w:ilvl="0">
      <w:start w:val="1"/>
      <w:numFmt w:val="decimal"/>
      <w:pStyle w:val="3"/>
      <w:lvlText w:val="%1."/>
      <w:lvlJc w:val="left"/>
      <w:pPr>
        <w:tabs>
          <w:tab w:val="num" w:pos="1200"/>
        </w:tabs>
        <w:ind w:leftChars="400" w:left="1200" w:hangingChars="200" w:hanging="360"/>
      </w:pPr>
    </w:lvl>
  </w:abstractNum>
  <w:abstractNum w:abstractNumId="3">
    <w:nsid w:val="FFFFFF7F"/>
    <w:multiLevelType w:val="singleLevel"/>
    <w:tmpl w:val="16064EF2"/>
    <w:lvl w:ilvl="0">
      <w:start w:val="1"/>
      <w:numFmt w:val="decimal"/>
      <w:pStyle w:val="2"/>
      <w:lvlText w:val="%1."/>
      <w:lvlJc w:val="left"/>
      <w:pPr>
        <w:tabs>
          <w:tab w:val="num" w:pos="780"/>
        </w:tabs>
        <w:ind w:leftChars="200" w:left="780" w:hangingChars="200" w:hanging="360"/>
      </w:pPr>
    </w:lvl>
  </w:abstractNum>
  <w:abstractNum w:abstractNumId="4">
    <w:nsid w:val="FFFFFF80"/>
    <w:multiLevelType w:val="singleLevel"/>
    <w:tmpl w:val="41E45412"/>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B7165286"/>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EC7AB1B0"/>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7456A0D0"/>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BDD8B0AA"/>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4F8E86E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8AC61F0"/>
    <w:multiLevelType w:val="hybridMultilevel"/>
    <w:tmpl w:val="017668C2"/>
    <w:lvl w:ilvl="0" w:tplc="229652AC">
      <w:start w:val="1"/>
      <w:numFmt w:val="japaneseCounting"/>
      <w:lvlText w:val="%1、"/>
      <w:lvlJc w:val="left"/>
      <w:pPr>
        <w:ind w:left="1575" w:hanging="8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096770AD"/>
    <w:multiLevelType w:val="hybridMultilevel"/>
    <w:tmpl w:val="7212B1B0"/>
    <w:lvl w:ilvl="0" w:tplc="65CA7142">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0A8A6FEB"/>
    <w:multiLevelType w:val="hybridMultilevel"/>
    <w:tmpl w:val="969692CE"/>
    <w:lvl w:ilvl="0" w:tplc="06E8545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15B85D69"/>
    <w:multiLevelType w:val="hybridMultilevel"/>
    <w:tmpl w:val="5ACCC098"/>
    <w:lvl w:ilvl="0" w:tplc="492463AC">
      <w:start w:val="5"/>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70132E9"/>
    <w:multiLevelType w:val="hybridMultilevel"/>
    <w:tmpl w:val="B06E2240"/>
    <w:lvl w:ilvl="0" w:tplc="5DEC79B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E902DA4"/>
    <w:multiLevelType w:val="hybridMultilevel"/>
    <w:tmpl w:val="4C1E8772"/>
    <w:lvl w:ilvl="0" w:tplc="14EE4D5C">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278F4CD0"/>
    <w:multiLevelType w:val="hybridMultilevel"/>
    <w:tmpl w:val="017668C2"/>
    <w:lvl w:ilvl="0" w:tplc="229652AC">
      <w:start w:val="1"/>
      <w:numFmt w:val="japaneseCounting"/>
      <w:lvlText w:val="%1、"/>
      <w:lvlJc w:val="left"/>
      <w:pPr>
        <w:ind w:left="1575" w:hanging="8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34153E2A"/>
    <w:multiLevelType w:val="hybridMultilevel"/>
    <w:tmpl w:val="8BB6695C"/>
    <w:lvl w:ilvl="0" w:tplc="6244428E">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34875ECF"/>
    <w:multiLevelType w:val="hybridMultilevel"/>
    <w:tmpl w:val="9BB03B5C"/>
    <w:lvl w:ilvl="0" w:tplc="7400916E">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45C72EB9"/>
    <w:multiLevelType w:val="hybridMultilevel"/>
    <w:tmpl w:val="7116C5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6416A5E"/>
    <w:multiLevelType w:val="hybridMultilevel"/>
    <w:tmpl w:val="4B0EC230"/>
    <w:lvl w:ilvl="0" w:tplc="317003BA">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4E891CF2"/>
    <w:multiLevelType w:val="hybridMultilevel"/>
    <w:tmpl w:val="33DE1B38"/>
    <w:lvl w:ilvl="0" w:tplc="62B051E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96E1A59"/>
    <w:multiLevelType w:val="hybridMultilevel"/>
    <w:tmpl w:val="CBE6B2C0"/>
    <w:lvl w:ilvl="0" w:tplc="67349948">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5BB0311A"/>
    <w:multiLevelType w:val="hybridMultilevel"/>
    <w:tmpl w:val="4E8A96E4"/>
    <w:lvl w:ilvl="0" w:tplc="0296AF44">
      <w:start w:val="5"/>
      <w:numFmt w:val="japaneseCounting"/>
      <w:lvlText w:val="%1、"/>
      <w:lvlJc w:val="left"/>
      <w:pPr>
        <w:ind w:left="525" w:hanging="42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24">
    <w:nsid w:val="6F5F54E6"/>
    <w:multiLevelType w:val="hybridMultilevel"/>
    <w:tmpl w:val="37622BEE"/>
    <w:lvl w:ilvl="0" w:tplc="AB068178">
      <w:start w:val="4"/>
      <w:numFmt w:val="japaneseCounting"/>
      <w:lvlText w:val="%1、"/>
      <w:lvlJc w:val="left"/>
      <w:pPr>
        <w:ind w:left="1155" w:hanging="42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25">
    <w:nsid w:val="75AA3A48"/>
    <w:multiLevelType w:val="hybridMultilevel"/>
    <w:tmpl w:val="252689B6"/>
    <w:lvl w:ilvl="0" w:tplc="FFC2692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18"/>
  </w:num>
  <w:num w:numId="3">
    <w:abstractNumId w:val="16"/>
  </w:num>
  <w:num w:numId="4">
    <w:abstractNumId w:val="20"/>
  </w:num>
  <w:num w:numId="5">
    <w:abstractNumId w:val="11"/>
  </w:num>
  <w:num w:numId="6">
    <w:abstractNumId w:val="17"/>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22"/>
  </w:num>
  <w:num w:numId="18">
    <w:abstractNumId w:val="12"/>
  </w:num>
  <w:num w:numId="19">
    <w:abstractNumId w:val="10"/>
  </w:num>
  <w:num w:numId="20">
    <w:abstractNumId w:val="24"/>
  </w:num>
  <w:num w:numId="21">
    <w:abstractNumId w:val="13"/>
  </w:num>
  <w:num w:numId="22">
    <w:abstractNumId w:val="23"/>
  </w:num>
  <w:num w:numId="23">
    <w:abstractNumId w:val="25"/>
  </w:num>
  <w:num w:numId="24">
    <w:abstractNumId w:val="21"/>
  </w:num>
  <w:num w:numId="25">
    <w:abstractNumId w:val="1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attachedTemplate r:id="rId1"/>
  <w:defaultTabStop w:val="420"/>
  <w:drawingGridHorizontalSpacing w:val="105"/>
  <w:drawingGridVerticalSpacing w:val="181"/>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44C59"/>
    <w:rsid w:val="00000120"/>
    <w:rsid w:val="00000692"/>
    <w:rsid w:val="000013B8"/>
    <w:rsid w:val="00001746"/>
    <w:rsid w:val="0000194A"/>
    <w:rsid w:val="000021FF"/>
    <w:rsid w:val="000025A1"/>
    <w:rsid w:val="000025A4"/>
    <w:rsid w:val="000025D0"/>
    <w:rsid w:val="00002723"/>
    <w:rsid w:val="000027AD"/>
    <w:rsid w:val="00002C5C"/>
    <w:rsid w:val="00002D4C"/>
    <w:rsid w:val="00003103"/>
    <w:rsid w:val="00003169"/>
    <w:rsid w:val="00003250"/>
    <w:rsid w:val="000037FE"/>
    <w:rsid w:val="000045E1"/>
    <w:rsid w:val="00004DB7"/>
    <w:rsid w:val="00005227"/>
    <w:rsid w:val="000059FA"/>
    <w:rsid w:val="00006019"/>
    <w:rsid w:val="00006102"/>
    <w:rsid w:val="000061FC"/>
    <w:rsid w:val="00006A8E"/>
    <w:rsid w:val="00006A9E"/>
    <w:rsid w:val="00006E0D"/>
    <w:rsid w:val="000070AC"/>
    <w:rsid w:val="0000782E"/>
    <w:rsid w:val="000079B8"/>
    <w:rsid w:val="00007C5F"/>
    <w:rsid w:val="0001026B"/>
    <w:rsid w:val="00010580"/>
    <w:rsid w:val="00010CEA"/>
    <w:rsid w:val="00010EDF"/>
    <w:rsid w:val="00010EE7"/>
    <w:rsid w:val="000111AA"/>
    <w:rsid w:val="0001152C"/>
    <w:rsid w:val="0001161F"/>
    <w:rsid w:val="0001165C"/>
    <w:rsid w:val="0001199E"/>
    <w:rsid w:val="00011B21"/>
    <w:rsid w:val="00011D16"/>
    <w:rsid w:val="00011DCF"/>
    <w:rsid w:val="00012167"/>
    <w:rsid w:val="000124BD"/>
    <w:rsid w:val="00012640"/>
    <w:rsid w:val="00012EE8"/>
    <w:rsid w:val="00012FEB"/>
    <w:rsid w:val="000131B8"/>
    <w:rsid w:val="00013AF0"/>
    <w:rsid w:val="00013C55"/>
    <w:rsid w:val="000144F1"/>
    <w:rsid w:val="00014551"/>
    <w:rsid w:val="000148CD"/>
    <w:rsid w:val="00014BB1"/>
    <w:rsid w:val="00014BBA"/>
    <w:rsid w:val="00014E41"/>
    <w:rsid w:val="00015AC3"/>
    <w:rsid w:val="00015B56"/>
    <w:rsid w:val="000160FA"/>
    <w:rsid w:val="0001617E"/>
    <w:rsid w:val="00016508"/>
    <w:rsid w:val="000166B4"/>
    <w:rsid w:val="0001689D"/>
    <w:rsid w:val="0001715B"/>
    <w:rsid w:val="000173D4"/>
    <w:rsid w:val="00017501"/>
    <w:rsid w:val="00017F92"/>
    <w:rsid w:val="00020472"/>
    <w:rsid w:val="000205B0"/>
    <w:rsid w:val="0002071B"/>
    <w:rsid w:val="000216BB"/>
    <w:rsid w:val="000216C5"/>
    <w:rsid w:val="00021D27"/>
    <w:rsid w:val="00021DCA"/>
    <w:rsid w:val="00021EF1"/>
    <w:rsid w:val="0002209A"/>
    <w:rsid w:val="000224EE"/>
    <w:rsid w:val="00022A9B"/>
    <w:rsid w:val="00022B8D"/>
    <w:rsid w:val="00022BA3"/>
    <w:rsid w:val="00022D49"/>
    <w:rsid w:val="00022E3A"/>
    <w:rsid w:val="0002327A"/>
    <w:rsid w:val="00023474"/>
    <w:rsid w:val="0002349A"/>
    <w:rsid w:val="0002351A"/>
    <w:rsid w:val="00023831"/>
    <w:rsid w:val="000238FB"/>
    <w:rsid w:val="00023C80"/>
    <w:rsid w:val="00023D63"/>
    <w:rsid w:val="00023DEC"/>
    <w:rsid w:val="000242CF"/>
    <w:rsid w:val="000243DE"/>
    <w:rsid w:val="0002468B"/>
    <w:rsid w:val="000246B8"/>
    <w:rsid w:val="000249B0"/>
    <w:rsid w:val="00024B0B"/>
    <w:rsid w:val="00025135"/>
    <w:rsid w:val="00025488"/>
    <w:rsid w:val="000254A9"/>
    <w:rsid w:val="000258DD"/>
    <w:rsid w:val="000259B7"/>
    <w:rsid w:val="00025F3C"/>
    <w:rsid w:val="000265F5"/>
    <w:rsid w:val="0002674A"/>
    <w:rsid w:val="00026CD4"/>
    <w:rsid w:val="00026D6E"/>
    <w:rsid w:val="00026EC6"/>
    <w:rsid w:val="00027309"/>
    <w:rsid w:val="000275FF"/>
    <w:rsid w:val="000279F5"/>
    <w:rsid w:val="00027AC2"/>
    <w:rsid w:val="00027C30"/>
    <w:rsid w:val="00027D20"/>
    <w:rsid w:val="000308EB"/>
    <w:rsid w:val="00030AC1"/>
    <w:rsid w:val="00030F33"/>
    <w:rsid w:val="00031177"/>
    <w:rsid w:val="00031220"/>
    <w:rsid w:val="00031E22"/>
    <w:rsid w:val="00032893"/>
    <w:rsid w:val="000329B4"/>
    <w:rsid w:val="00032A84"/>
    <w:rsid w:val="00032FEA"/>
    <w:rsid w:val="000335CD"/>
    <w:rsid w:val="00033721"/>
    <w:rsid w:val="00033844"/>
    <w:rsid w:val="0003426A"/>
    <w:rsid w:val="00034275"/>
    <w:rsid w:val="00034842"/>
    <w:rsid w:val="00034858"/>
    <w:rsid w:val="00035053"/>
    <w:rsid w:val="00035532"/>
    <w:rsid w:val="000358B5"/>
    <w:rsid w:val="00035E6F"/>
    <w:rsid w:val="000360AE"/>
    <w:rsid w:val="000363F9"/>
    <w:rsid w:val="0003663D"/>
    <w:rsid w:val="00036722"/>
    <w:rsid w:val="0003686F"/>
    <w:rsid w:val="00036B4D"/>
    <w:rsid w:val="00036E55"/>
    <w:rsid w:val="00036E70"/>
    <w:rsid w:val="00037240"/>
    <w:rsid w:val="000372DE"/>
    <w:rsid w:val="0003772F"/>
    <w:rsid w:val="000379DE"/>
    <w:rsid w:val="00037A4B"/>
    <w:rsid w:val="00037AD9"/>
    <w:rsid w:val="00037E1C"/>
    <w:rsid w:val="000402C5"/>
    <w:rsid w:val="00040787"/>
    <w:rsid w:val="0004099E"/>
    <w:rsid w:val="00040A3C"/>
    <w:rsid w:val="00040A76"/>
    <w:rsid w:val="00040AA4"/>
    <w:rsid w:val="00040ECC"/>
    <w:rsid w:val="000410F2"/>
    <w:rsid w:val="000410FC"/>
    <w:rsid w:val="000415B3"/>
    <w:rsid w:val="00041639"/>
    <w:rsid w:val="00041751"/>
    <w:rsid w:val="00041B07"/>
    <w:rsid w:val="00041DB7"/>
    <w:rsid w:val="00041EC3"/>
    <w:rsid w:val="00042061"/>
    <w:rsid w:val="00042332"/>
    <w:rsid w:val="0004372F"/>
    <w:rsid w:val="00043D9F"/>
    <w:rsid w:val="000442BC"/>
    <w:rsid w:val="0004434B"/>
    <w:rsid w:val="000448AB"/>
    <w:rsid w:val="00044B51"/>
    <w:rsid w:val="00044CBF"/>
    <w:rsid w:val="00044E3C"/>
    <w:rsid w:val="000452CB"/>
    <w:rsid w:val="0004542B"/>
    <w:rsid w:val="0004549D"/>
    <w:rsid w:val="00045722"/>
    <w:rsid w:val="00045B6B"/>
    <w:rsid w:val="00045E12"/>
    <w:rsid w:val="00045F05"/>
    <w:rsid w:val="0004613F"/>
    <w:rsid w:val="000464D9"/>
    <w:rsid w:val="00046984"/>
    <w:rsid w:val="00046A49"/>
    <w:rsid w:val="00047305"/>
    <w:rsid w:val="00047569"/>
    <w:rsid w:val="00047712"/>
    <w:rsid w:val="00047BA0"/>
    <w:rsid w:val="0005021F"/>
    <w:rsid w:val="000508D5"/>
    <w:rsid w:val="00050DE8"/>
    <w:rsid w:val="0005109E"/>
    <w:rsid w:val="000510EA"/>
    <w:rsid w:val="000511BB"/>
    <w:rsid w:val="0005120A"/>
    <w:rsid w:val="00051678"/>
    <w:rsid w:val="000518E2"/>
    <w:rsid w:val="00051A23"/>
    <w:rsid w:val="00051A75"/>
    <w:rsid w:val="00051E8E"/>
    <w:rsid w:val="000524F7"/>
    <w:rsid w:val="000525B0"/>
    <w:rsid w:val="0005283D"/>
    <w:rsid w:val="00052959"/>
    <w:rsid w:val="00052B01"/>
    <w:rsid w:val="00052C3D"/>
    <w:rsid w:val="00053426"/>
    <w:rsid w:val="000537D1"/>
    <w:rsid w:val="000542E5"/>
    <w:rsid w:val="0005481D"/>
    <w:rsid w:val="00054868"/>
    <w:rsid w:val="000552FA"/>
    <w:rsid w:val="0005587B"/>
    <w:rsid w:val="000558A2"/>
    <w:rsid w:val="00055CF9"/>
    <w:rsid w:val="000564D7"/>
    <w:rsid w:val="000568DE"/>
    <w:rsid w:val="00056A35"/>
    <w:rsid w:val="00057344"/>
    <w:rsid w:val="00057582"/>
    <w:rsid w:val="000601E1"/>
    <w:rsid w:val="00060287"/>
    <w:rsid w:val="00060650"/>
    <w:rsid w:val="00060865"/>
    <w:rsid w:val="0006093D"/>
    <w:rsid w:val="00060994"/>
    <w:rsid w:val="00060CD5"/>
    <w:rsid w:val="000611D5"/>
    <w:rsid w:val="000613D1"/>
    <w:rsid w:val="0006159C"/>
    <w:rsid w:val="000615E1"/>
    <w:rsid w:val="000619DB"/>
    <w:rsid w:val="00061DEA"/>
    <w:rsid w:val="00061F95"/>
    <w:rsid w:val="00062033"/>
    <w:rsid w:val="0006219C"/>
    <w:rsid w:val="0006272F"/>
    <w:rsid w:val="00062731"/>
    <w:rsid w:val="00062AFC"/>
    <w:rsid w:val="00062E95"/>
    <w:rsid w:val="00062FFC"/>
    <w:rsid w:val="00063943"/>
    <w:rsid w:val="00063A10"/>
    <w:rsid w:val="00064FDC"/>
    <w:rsid w:val="00065039"/>
    <w:rsid w:val="0006534F"/>
    <w:rsid w:val="0006546A"/>
    <w:rsid w:val="00065B00"/>
    <w:rsid w:val="00065B6B"/>
    <w:rsid w:val="00065CB4"/>
    <w:rsid w:val="00065E93"/>
    <w:rsid w:val="00065F10"/>
    <w:rsid w:val="00065FBF"/>
    <w:rsid w:val="0006603B"/>
    <w:rsid w:val="00066282"/>
    <w:rsid w:val="00067203"/>
    <w:rsid w:val="0006742B"/>
    <w:rsid w:val="00067496"/>
    <w:rsid w:val="00067554"/>
    <w:rsid w:val="00067CC1"/>
    <w:rsid w:val="00067E29"/>
    <w:rsid w:val="00070035"/>
    <w:rsid w:val="000700A0"/>
    <w:rsid w:val="0007029E"/>
    <w:rsid w:val="000708A5"/>
    <w:rsid w:val="0007092E"/>
    <w:rsid w:val="00070AD2"/>
    <w:rsid w:val="00070F0D"/>
    <w:rsid w:val="00071138"/>
    <w:rsid w:val="00071529"/>
    <w:rsid w:val="00071849"/>
    <w:rsid w:val="00071980"/>
    <w:rsid w:val="00071AE0"/>
    <w:rsid w:val="00071B45"/>
    <w:rsid w:val="00071B8F"/>
    <w:rsid w:val="00071C69"/>
    <w:rsid w:val="00072270"/>
    <w:rsid w:val="00072493"/>
    <w:rsid w:val="000727DE"/>
    <w:rsid w:val="00072B65"/>
    <w:rsid w:val="00072E42"/>
    <w:rsid w:val="00072EF8"/>
    <w:rsid w:val="00072F70"/>
    <w:rsid w:val="00072FA9"/>
    <w:rsid w:val="000731FB"/>
    <w:rsid w:val="0007337C"/>
    <w:rsid w:val="0007398F"/>
    <w:rsid w:val="000743A5"/>
    <w:rsid w:val="000744D1"/>
    <w:rsid w:val="00074E2D"/>
    <w:rsid w:val="00074EFE"/>
    <w:rsid w:val="00075211"/>
    <w:rsid w:val="0007533A"/>
    <w:rsid w:val="00075ACB"/>
    <w:rsid w:val="00075DE0"/>
    <w:rsid w:val="000765A4"/>
    <w:rsid w:val="00076619"/>
    <w:rsid w:val="00076B05"/>
    <w:rsid w:val="00076C3F"/>
    <w:rsid w:val="00077225"/>
    <w:rsid w:val="00077386"/>
    <w:rsid w:val="000777CA"/>
    <w:rsid w:val="00077D60"/>
    <w:rsid w:val="00077E1A"/>
    <w:rsid w:val="00077E62"/>
    <w:rsid w:val="0008056C"/>
    <w:rsid w:val="00080F61"/>
    <w:rsid w:val="000812BF"/>
    <w:rsid w:val="0008144E"/>
    <w:rsid w:val="000814B7"/>
    <w:rsid w:val="00081879"/>
    <w:rsid w:val="00081BB8"/>
    <w:rsid w:val="00081CE7"/>
    <w:rsid w:val="00081CE8"/>
    <w:rsid w:val="00081D0F"/>
    <w:rsid w:val="00081FE1"/>
    <w:rsid w:val="0008205D"/>
    <w:rsid w:val="0008276A"/>
    <w:rsid w:val="000827F0"/>
    <w:rsid w:val="00082B29"/>
    <w:rsid w:val="00082D76"/>
    <w:rsid w:val="00082FA9"/>
    <w:rsid w:val="000831AB"/>
    <w:rsid w:val="000832C9"/>
    <w:rsid w:val="000833A5"/>
    <w:rsid w:val="000847BC"/>
    <w:rsid w:val="00084C5B"/>
    <w:rsid w:val="00084F2A"/>
    <w:rsid w:val="00085237"/>
    <w:rsid w:val="000853B9"/>
    <w:rsid w:val="00085621"/>
    <w:rsid w:val="00085A59"/>
    <w:rsid w:val="00085C61"/>
    <w:rsid w:val="00085DBD"/>
    <w:rsid w:val="00085E3C"/>
    <w:rsid w:val="00086325"/>
    <w:rsid w:val="0008668C"/>
    <w:rsid w:val="00086B84"/>
    <w:rsid w:val="00086B9A"/>
    <w:rsid w:val="00086ED8"/>
    <w:rsid w:val="000873AD"/>
    <w:rsid w:val="00087500"/>
    <w:rsid w:val="000875C6"/>
    <w:rsid w:val="00087AA0"/>
    <w:rsid w:val="00087B4C"/>
    <w:rsid w:val="0009018F"/>
    <w:rsid w:val="000902CD"/>
    <w:rsid w:val="000903C4"/>
    <w:rsid w:val="00090475"/>
    <w:rsid w:val="00090775"/>
    <w:rsid w:val="0009111A"/>
    <w:rsid w:val="000918EA"/>
    <w:rsid w:val="00091A8F"/>
    <w:rsid w:val="00091D84"/>
    <w:rsid w:val="00091F66"/>
    <w:rsid w:val="00092F45"/>
    <w:rsid w:val="000930E2"/>
    <w:rsid w:val="0009377F"/>
    <w:rsid w:val="00093B39"/>
    <w:rsid w:val="00093BEC"/>
    <w:rsid w:val="0009404B"/>
    <w:rsid w:val="0009412D"/>
    <w:rsid w:val="00094362"/>
    <w:rsid w:val="000943C6"/>
    <w:rsid w:val="0009447C"/>
    <w:rsid w:val="00094D56"/>
    <w:rsid w:val="0009516B"/>
    <w:rsid w:val="000951FD"/>
    <w:rsid w:val="000956C0"/>
    <w:rsid w:val="000957E5"/>
    <w:rsid w:val="00095962"/>
    <w:rsid w:val="00096221"/>
    <w:rsid w:val="000966FD"/>
    <w:rsid w:val="000968EA"/>
    <w:rsid w:val="00096CF8"/>
    <w:rsid w:val="00096D1F"/>
    <w:rsid w:val="00096D41"/>
    <w:rsid w:val="00096E38"/>
    <w:rsid w:val="00097019"/>
    <w:rsid w:val="0009731F"/>
    <w:rsid w:val="000978AD"/>
    <w:rsid w:val="000979A5"/>
    <w:rsid w:val="000A00BA"/>
    <w:rsid w:val="000A00E9"/>
    <w:rsid w:val="000A0A47"/>
    <w:rsid w:val="000A0A88"/>
    <w:rsid w:val="000A1089"/>
    <w:rsid w:val="000A1093"/>
    <w:rsid w:val="000A10F9"/>
    <w:rsid w:val="000A118C"/>
    <w:rsid w:val="000A17FD"/>
    <w:rsid w:val="000A1C9C"/>
    <w:rsid w:val="000A1D32"/>
    <w:rsid w:val="000A1DBA"/>
    <w:rsid w:val="000A2318"/>
    <w:rsid w:val="000A274B"/>
    <w:rsid w:val="000A2FCC"/>
    <w:rsid w:val="000A3245"/>
    <w:rsid w:val="000A36DB"/>
    <w:rsid w:val="000A3711"/>
    <w:rsid w:val="000A3837"/>
    <w:rsid w:val="000A3F4A"/>
    <w:rsid w:val="000A405C"/>
    <w:rsid w:val="000A42C3"/>
    <w:rsid w:val="000A4342"/>
    <w:rsid w:val="000A4428"/>
    <w:rsid w:val="000A463B"/>
    <w:rsid w:val="000A4DDD"/>
    <w:rsid w:val="000A4ED6"/>
    <w:rsid w:val="000A5190"/>
    <w:rsid w:val="000A523D"/>
    <w:rsid w:val="000A57F6"/>
    <w:rsid w:val="000A5BC2"/>
    <w:rsid w:val="000A6519"/>
    <w:rsid w:val="000A65A0"/>
    <w:rsid w:val="000A6901"/>
    <w:rsid w:val="000A6BD6"/>
    <w:rsid w:val="000A6C98"/>
    <w:rsid w:val="000A6D31"/>
    <w:rsid w:val="000A6ED9"/>
    <w:rsid w:val="000A727D"/>
    <w:rsid w:val="000A78CF"/>
    <w:rsid w:val="000A7DC6"/>
    <w:rsid w:val="000A7EB6"/>
    <w:rsid w:val="000B0E7D"/>
    <w:rsid w:val="000B0F01"/>
    <w:rsid w:val="000B0F36"/>
    <w:rsid w:val="000B107D"/>
    <w:rsid w:val="000B121C"/>
    <w:rsid w:val="000B124C"/>
    <w:rsid w:val="000B1544"/>
    <w:rsid w:val="000B16F8"/>
    <w:rsid w:val="000B1C8A"/>
    <w:rsid w:val="000B1DBD"/>
    <w:rsid w:val="000B2070"/>
    <w:rsid w:val="000B2540"/>
    <w:rsid w:val="000B2866"/>
    <w:rsid w:val="000B28B8"/>
    <w:rsid w:val="000B2A31"/>
    <w:rsid w:val="000B33AA"/>
    <w:rsid w:val="000B34EF"/>
    <w:rsid w:val="000B357B"/>
    <w:rsid w:val="000B3648"/>
    <w:rsid w:val="000B3D14"/>
    <w:rsid w:val="000B4150"/>
    <w:rsid w:val="000B418C"/>
    <w:rsid w:val="000B43B6"/>
    <w:rsid w:val="000B4A85"/>
    <w:rsid w:val="000B4A89"/>
    <w:rsid w:val="000B4C80"/>
    <w:rsid w:val="000B4E23"/>
    <w:rsid w:val="000B513D"/>
    <w:rsid w:val="000B514A"/>
    <w:rsid w:val="000B538A"/>
    <w:rsid w:val="000B539F"/>
    <w:rsid w:val="000B58EC"/>
    <w:rsid w:val="000B622F"/>
    <w:rsid w:val="000B63BA"/>
    <w:rsid w:val="000B647C"/>
    <w:rsid w:val="000B64D1"/>
    <w:rsid w:val="000B6902"/>
    <w:rsid w:val="000B6991"/>
    <w:rsid w:val="000B6F3B"/>
    <w:rsid w:val="000B7415"/>
    <w:rsid w:val="000B7537"/>
    <w:rsid w:val="000B7675"/>
    <w:rsid w:val="000B799D"/>
    <w:rsid w:val="000B7E00"/>
    <w:rsid w:val="000B7E09"/>
    <w:rsid w:val="000B7FE2"/>
    <w:rsid w:val="000C0101"/>
    <w:rsid w:val="000C028A"/>
    <w:rsid w:val="000C03FA"/>
    <w:rsid w:val="000C067B"/>
    <w:rsid w:val="000C0805"/>
    <w:rsid w:val="000C080B"/>
    <w:rsid w:val="000C10C9"/>
    <w:rsid w:val="000C14A7"/>
    <w:rsid w:val="000C1693"/>
    <w:rsid w:val="000C1943"/>
    <w:rsid w:val="000C1C63"/>
    <w:rsid w:val="000C1D07"/>
    <w:rsid w:val="000C1DE8"/>
    <w:rsid w:val="000C1FAD"/>
    <w:rsid w:val="000C2069"/>
    <w:rsid w:val="000C21BC"/>
    <w:rsid w:val="000C29BC"/>
    <w:rsid w:val="000C3AB5"/>
    <w:rsid w:val="000C3C3E"/>
    <w:rsid w:val="000C3FA8"/>
    <w:rsid w:val="000C43F9"/>
    <w:rsid w:val="000C4C98"/>
    <w:rsid w:val="000C4DBA"/>
    <w:rsid w:val="000C4F6F"/>
    <w:rsid w:val="000C5508"/>
    <w:rsid w:val="000C59EC"/>
    <w:rsid w:val="000C5FAE"/>
    <w:rsid w:val="000C626F"/>
    <w:rsid w:val="000C64DA"/>
    <w:rsid w:val="000C651C"/>
    <w:rsid w:val="000C6798"/>
    <w:rsid w:val="000C6AC7"/>
    <w:rsid w:val="000C6B67"/>
    <w:rsid w:val="000C70CA"/>
    <w:rsid w:val="000C717F"/>
    <w:rsid w:val="000C738C"/>
    <w:rsid w:val="000C73BD"/>
    <w:rsid w:val="000C743F"/>
    <w:rsid w:val="000D0081"/>
    <w:rsid w:val="000D00EE"/>
    <w:rsid w:val="000D01DF"/>
    <w:rsid w:val="000D0253"/>
    <w:rsid w:val="000D0920"/>
    <w:rsid w:val="000D1100"/>
    <w:rsid w:val="000D148B"/>
    <w:rsid w:val="000D186F"/>
    <w:rsid w:val="000D19A8"/>
    <w:rsid w:val="000D233D"/>
    <w:rsid w:val="000D2E68"/>
    <w:rsid w:val="000D2FAE"/>
    <w:rsid w:val="000D3440"/>
    <w:rsid w:val="000D3E1D"/>
    <w:rsid w:val="000D3E7D"/>
    <w:rsid w:val="000D4182"/>
    <w:rsid w:val="000D42D1"/>
    <w:rsid w:val="000D4860"/>
    <w:rsid w:val="000D48EE"/>
    <w:rsid w:val="000D4936"/>
    <w:rsid w:val="000D4BED"/>
    <w:rsid w:val="000D4EA6"/>
    <w:rsid w:val="000D5059"/>
    <w:rsid w:val="000D5239"/>
    <w:rsid w:val="000D5CD1"/>
    <w:rsid w:val="000D5E56"/>
    <w:rsid w:val="000D5EAC"/>
    <w:rsid w:val="000D614D"/>
    <w:rsid w:val="000D6370"/>
    <w:rsid w:val="000D64DE"/>
    <w:rsid w:val="000D6688"/>
    <w:rsid w:val="000D67B6"/>
    <w:rsid w:val="000D6F09"/>
    <w:rsid w:val="000D7287"/>
    <w:rsid w:val="000D7291"/>
    <w:rsid w:val="000D730C"/>
    <w:rsid w:val="000D7CEC"/>
    <w:rsid w:val="000D7DCA"/>
    <w:rsid w:val="000E00DC"/>
    <w:rsid w:val="000E0309"/>
    <w:rsid w:val="000E0337"/>
    <w:rsid w:val="000E06A4"/>
    <w:rsid w:val="000E090B"/>
    <w:rsid w:val="000E0C16"/>
    <w:rsid w:val="000E0D0C"/>
    <w:rsid w:val="000E0D15"/>
    <w:rsid w:val="000E1550"/>
    <w:rsid w:val="000E1ACD"/>
    <w:rsid w:val="000E1CAB"/>
    <w:rsid w:val="000E20FA"/>
    <w:rsid w:val="000E21A2"/>
    <w:rsid w:val="000E23B8"/>
    <w:rsid w:val="000E2694"/>
    <w:rsid w:val="000E2CB6"/>
    <w:rsid w:val="000E30C4"/>
    <w:rsid w:val="000E3167"/>
    <w:rsid w:val="000E32A8"/>
    <w:rsid w:val="000E37BD"/>
    <w:rsid w:val="000E3985"/>
    <w:rsid w:val="000E3D68"/>
    <w:rsid w:val="000E3DF1"/>
    <w:rsid w:val="000E3E25"/>
    <w:rsid w:val="000E436D"/>
    <w:rsid w:val="000E4536"/>
    <w:rsid w:val="000E46D3"/>
    <w:rsid w:val="000E4AB3"/>
    <w:rsid w:val="000E4D2A"/>
    <w:rsid w:val="000E506F"/>
    <w:rsid w:val="000E5222"/>
    <w:rsid w:val="000E5587"/>
    <w:rsid w:val="000E5C9E"/>
    <w:rsid w:val="000E6029"/>
    <w:rsid w:val="000E60D5"/>
    <w:rsid w:val="000E63E2"/>
    <w:rsid w:val="000E64D0"/>
    <w:rsid w:val="000E68B2"/>
    <w:rsid w:val="000E694B"/>
    <w:rsid w:val="000E6C03"/>
    <w:rsid w:val="000E6CCA"/>
    <w:rsid w:val="000E6DD9"/>
    <w:rsid w:val="000E6E35"/>
    <w:rsid w:val="000E6F91"/>
    <w:rsid w:val="000E708E"/>
    <w:rsid w:val="000E7AB3"/>
    <w:rsid w:val="000E7BB6"/>
    <w:rsid w:val="000E7C44"/>
    <w:rsid w:val="000F045F"/>
    <w:rsid w:val="000F0638"/>
    <w:rsid w:val="000F0A31"/>
    <w:rsid w:val="000F0F3C"/>
    <w:rsid w:val="000F1143"/>
    <w:rsid w:val="000F1950"/>
    <w:rsid w:val="000F1DD4"/>
    <w:rsid w:val="000F2162"/>
    <w:rsid w:val="000F230A"/>
    <w:rsid w:val="000F237F"/>
    <w:rsid w:val="000F244E"/>
    <w:rsid w:val="000F2474"/>
    <w:rsid w:val="000F2692"/>
    <w:rsid w:val="000F270D"/>
    <w:rsid w:val="000F2980"/>
    <w:rsid w:val="000F2982"/>
    <w:rsid w:val="000F2A34"/>
    <w:rsid w:val="000F2D16"/>
    <w:rsid w:val="000F2DB6"/>
    <w:rsid w:val="000F30CF"/>
    <w:rsid w:val="000F3163"/>
    <w:rsid w:val="000F3200"/>
    <w:rsid w:val="000F367C"/>
    <w:rsid w:val="000F393D"/>
    <w:rsid w:val="000F3C4A"/>
    <w:rsid w:val="000F3CC6"/>
    <w:rsid w:val="000F3D60"/>
    <w:rsid w:val="000F3DBF"/>
    <w:rsid w:val="000F3FD7"/>
    <w:rsid w:val="000F40B0"/>
    <w:rsid w:val="000F43BC"/>
    <w:rsid w:val="000F4402"/>
    <w:rsid w:val="000F440F"/>
    <w:rsid w:val="000F464A"/>
    <w:rsid w:val="000F469A"/>
    <w:rsid w:val="000F4836"/>
    <w:rsid w:val="000F4A57"/>
    <w:rsid w:val="000F4A76"/>
    <w:rsid w:val="000F4C0D"/>
    <w:rsid w:val="000F5476"/>
    <w:rsid w:val="000F565A"/>
    <w:rsid w:val="000F58CE"/>
    <w:rsid w:val="000F5A39"/>
    <w:rsid w:val="000F5E35"/>
    <w:rsid w:val="000F65EC"/>
    <w:rsid w:val="000F67D2"/>
    <w:rsid w:val="000F6C9F"/>
    <w:rsid w:val="000F6CE4"/>
    <w:rsid w:val="000F7630"/>
    <w:rsid w:val="000F7AEC"/>
    <w:rsid w:val="000F7B66"/>
    <w:rsid w:val="000F7E56"/>
    <w:rsid w:val="0010021E"/>
    <w:rsid w:val="001008F5"/>
    <w:rsid w:val="00100DA1"/>
    <w:rsid w:val="0010117F"/>
    <w:rsid w:val="0010146F"/>
    <w:rsid w:val="0010159E"/>
    <w:rsid w:val="001022C8"/>
    <w:rsid w:val="001026CF"/>
    <w:rsid w:val="00102F23"/>
    <w:rsid w:val="00102F3D"/>
    <w:rsid w:val="001036C1"/>
    <w:rsid w:val="00103D96"/>
    <w:rsid w:val="00103F21"/>
    <w:rsid w:val="00103F3D"/>
    <w:rsid w:val="001040BF"/>
    <w:rsid w:val="00104476"/>
    <w:rsid w:val="0010452A"/>
    <w:rsid w:val="00104560"/>
    <w:rsid w:val="0010492D"/>
    <w:rsid w:val="00104A41"/>
    <w:rsid w:val="00104BEC"/>
    <w:rsid w:val="00104C8E"/>
    <w:rsid w:val="001052FD"/>
    <w:rsid w:val="0010574A"/>
    <w:rsid w:val="00105B14"/>
    <w:rsid w:val="00105FD4"/>
    <w:rsid w:val="00106043"/>
    <w:rsid w:val="00106283"/>
    <w:rsid w:val="001064E6"/>
    <w:rsid w:val="001068EE"/>
    <w:rsid w:val="0010712E"/>
    <w:rsid w:val="0010728E"/>
    <w:rsid w:val="001075C1"/>
    <w:rsid w:val="00107695"/>
    <w:rsid w:val="00107761"/>
    <w:rsid w:val="001079D7"/>
    <w:rsid w:val="00107AF3"/>
    <w:rsid w:val="00107F0A"/>
    <w:rsid w:val="001106DE"/>
    <w:rsid w:val="00110A79"/>
    <w:rsid w:val="00110BA1"/>
    <w:rsid w:val="00110E33"/>
    <w:rsid w:val="001113E1"/>
    <w:rsid w:val="00112296"/>
    <w:rsid w:val="00112428"/>
    <w:rsid w:val="00112668"/>
    <w:rsid w:val="00112784"/>
    <w:rsid w:val="00112CAF"/>
    <w:rsid w:val="0011334D"/>
    <w:rsid w:val="00113529"/>
    <w:rsid w:val="00113B54"/>
    <w:rsid w:val="00113BDD"/>
    <w:rsid w:val="00113DD7"/>
    <w:rsid w:val="00113E4D"/>
    <w:rsid w:val="00114059"/>
    <w:rsid w:val="001143DB"/>
    <w:rsid w:val="001144DC"/>
    <w:rsid w:val="00114E60"/>
    <w:rsid w:val="001150BE"/>
    <w:rsid w:val="00115598"/>
    <w:rsid w:val="0011564E"/>
    <w:rsid w:val="0011565A"/>
    <w:rsid w:val="0011592C"/>
    <w:rsid w:val="00115D5A"/>
    <w:rsid w:val="00116249"/>
    <w:rsid w:val="00116278"/>
    <w:rsid w:val="00116520"/>
    <w:rsid w:val="001168FB"/>
    <w:rsid w:val="00116927"/>
    <w:rsid w:val="00116A63"/>
    <w:rsid w:val="00116A68"/>
    <w:rsid w:val="00116B3C"/>
    <w:rsid w:val="00116B77"/>
    <w:rsid w:val="00116B94"/>
    <w:rsid w:val="001171F1"/>
    <w:rsid w:val="001172F3"/>
    <w:rsid w:val="0011793C"/>
    <w:rsid w:val="00117A7A"/>
    <w:rsid w:val="00117AEC"/>
    <w:rsid w:val="00117B35"/>
    <w:rsid w:val="00117E66"/>
    <w:rsid w:val="00120375"/>
    <w:rsid w:val="00120523"/>
    <w:rsid w:val="00120B62"/>
    <w:rsid w:val="00120B81"/>
    <w:rsid w:val="00120E75"/>
    <w:rsid w:val="00120F59"/>
    <w:rsid w:val="0012103E"/>
    <w:rsid w:val="001213AD"/>
    <w:rsid w:val="00121423"/>
    <w:rsid w:val="00121437"/>
    <w:rsid w:val="0012170E"/>
    <w:rsid w:val="00121939"/>
    <w:rsid w:val="00121F6C"/>
    <w:rsid w:val="001222FA"/>
    <w:rsid w:val="00122345"/>
    <w:rsid w:val="001228AE"/>
    <w:rsid w:val="001228DE"/>
    <w:rsid w:val="00123334"/>
    <w:rsid w:val="00123BF5"/>
    <w:rsid w:val="00123C38"/>
    <w:rsid w:val="00123C3D"/>
    <w:rsid w:val="00123E77"/>
    <w:rsid w:val="001241CB"/>
    <w:rsid w:val="0012448B"/>
    <w:rsid w:val="001244CE"/>
    <w:rsid w:val="0012461C"/>
    <w:rsid w:val="00124D89"/>
    <w:rsid w:val="00124E8B"/>
    <w:rsid w:val="00124E9B"/>
    <w:rsid w:val="00125202"/>
    <w:rsid w:val="001259F0"/>
    <w:rsid w:val="00125B0D"/>
    <w:rsid w:val="00125B58"/>
    <w:rsid w:val="00125F5A"/>
    <w:rsid w:val="001261E6"/>
    <w:rsid w:val="0012629C"/>
    <w:rsid w:val="001264E3"/>
    <w:rsid w:val="0012656B"/>
    <w:rsid w:val="00126A63"/>
    <w:rsid w:val="00126B8F"/>
    <w:rsid w:val="00126BE9"/>
    <w:rsid w:val="00127163"/>
    <w:rsid w:val="0012721E"/>
    <w:rsid w:val="00127D91"/>
    <w:rsid w:val="00130447"/>
    <w:rsid w:val="00130CC6"/>
    <w:rsid w:val="00130DEA"/>
    <w:rsid w:val="0013134E"/>
    <w:rsid w:val="00131385"/>
    <w:rsid w:val="00131692"/>
    <w:rsid w:val="0013180A"/>
    <w:rsid w:val="00131B64"/>
    <w:rsid w:val="001321BC"/>
    <w:rsid w:val="001321D6"/>
    <w:rsid w:val="001322B7"/>
    <w:rsid w:val="00132498"/>
    <w:rsid w:val="0013251B"/>
    <w:rsid w:val="0013256E"/>
    <w:rsid w:val="001329BA"/>
    <w:rsid w:val="00133351"/>
    <w:rsid w:val="0013370A"/>
    <w:rsid w:val="00133B32"/>
    <w:rsid w:val="001344A0"/>
    <w:rsid w:val="001348FF"/>
    <w:rsid w:val="0013499E"/>
    <w:rsid w:val="00135736"/>
    <w:rsid w:val="0013597F"/>
    <w:rsid w:val="00135FB8"/>
    <w:rsid w:val="001360CF"/>
    <w:rsid w:val="00136230"/>
    <w:rsid w:val="001366B6"/>
    <w:rsid w:val="00136749"/>
    <w:rsid w:val="0013695F"/>
    <w:rsid w:val="00136A6A"/>
    <w:rsid w:val="00136E41"/>
    <w:rsid w:val="00136E85"/>
    <w:rsid w:val="00140299"/>
    <w:rsid w:val="00140494"/>
    <w:rsid w:val="00140819"/>
    <w:rsid w:val="0014084C"/>
    <w:rsid w:val="0014196A"/>
    <w:rsid w:val="00141B15"/>
    <w:rsid w:val="00141C1F"/>
    <w:rsid w:val="00141D2A"/>
    <w:rsid w:val="00141E79"/>
    <w:rsid w:val="001422BA"/>
    <w:rsid w:val="001422BD"/>
    <w:rsid w:val="00142468"/>
    <w:rsid w:val="00142D4B"/>
    <w:rsid w:val="00142EE6"/>
    <w:rsid w:val="00142FAD"/>
    <w:rsid w:val="00143096"/>
    <w:rsid w:val="001431D6"/>
    <w:rsid w:val="00143310"/>
    <w:rsid w:val="001437FE"/>
    <w:rsid w:val="00143825"/>
    <w:rsid w:val="00143AF3"/>
    <w:rsid w:val="0014450C"/>
    <w:rsid w:val="0014493A"/>
    <w:rsid w:val="00144CB5"/>
    <w:rsid w:val="00144D09"/>
    <w:rsid w:val="001450A3"/>
    <w:rsid w:val="001450FE"/>
    <w:rsid w:val="00145353"/>
    <w:rsid w:val="00145996"/>
    <w:rsid w:val="00145AEE"/>
    <w:rsid w:val="00145C4C"/>
    <w:rsid w:val="00145DB5"/>
    <w:rsid w:val="00146248"/>
    <w:rsid w:val="00146873"/>
    <w:rsid w:val="00147043"/>
    <w:rsid w:val="001471ED"/>
    <w:rsid w:val="00147237"/>
    <w:rsid w:val="001472E4"/>
    <w:rsid w:val="001473CB"/>
    <w:rsid w:val="0014752B"/>
    <w:rsid w:val="001478AC"/>
    <w:rsid w:val="00147A49"/>
    <w:rsid w:val="00147A86"/>
    <w:rsid w:val="00147B9A"/>
    <w:rsid w:val="00147C07"/>
    <w:rsid w:val="00147CCB"/>
    <w:rsid w:val="00147E3B"/>
    <w:rsid w:val="00150497"/>
    <w:rsid w:val="00150637"/>
    <w:rsid w:val="001508A4"/>
    <w:rsid w:val="00150CD6"/>
    <w:rsid w:val="00151AFA"/>
    <w:rsid w:val="00151BE3"/>
    <w:rsid w:val="00151D92"/>
    <w:rsid w:val="001535C5"/>
    <w:rsid w:val="001536EC"/>
    <w:rsid w:val="0015380D"/>
    <w:rsid w:val="001538F5"/>
    <w:rsid w:val="00153A22"/>
    <w:rsid w:val="00153BF4"/>
    <w:rsid w:val="00154108"/>
    <w:rsid w:val="001543AE"/>
    <w:rsid w:val="00154806"/>
    <w:rsid w:val="00154C92"/>
    <w:rsid w:val="00154DD3"/>
    <w:rsid w:val="00155433"/>
    <w:rsid w:val="00155559"/>
    <w:rsid w:val="001555BE"/>
    <w:rsid w:val="0015570C"/>
    <w:rsid w:val="00155728"/>
    <w:rsid w:val="00155877"/>
    <w:rsid w:val="00155A82"/>
    <w:rsid w:val="00155D87"/>
    <w:rsid w:val="00155EDD"/>
    <w:rsid w:val="0015638F"/>
    <w:rsid w:val="001563AF"/>
    <w:rsid w:val="001567ED"/>
    <w:rsid w:val="00156C95"/>
    <w:rsid w:val="0015739D"/>
    <w:rsid w:val="001576BA"/>
    <w:rsid w:val="00157712"/>
    <w:rsid w:val="00157B55"/>
    <w:rsid w:val="00157B73"/>
    <w:rsid w:val="00157F1F"/>
    <w:rsid w:val="001602C6"/>
    <w:rsid w:val="0016071B"/>
    <w:rsid w:val="0016076C"/>
    <w:rsid w:val="001608B2"/>
    <w:rsid w:val="0016095F"/>
    <w:rsid w:val="00160B7D"/>
    <w:rsid w:val="00160D8E"/>
    <w:rsid w:val="00161218"/>
    <w:rsid w:val="001615F6"/>
    <w:rsid w:val="00161B0E"/>
    <w:rsid w:val="00161C83"/>
    <w:rsid w:val="00161E95"/>
    <w:rsid w:val="001620C2"/>
    <w:rsid w:val="001621D1"/>
    <w:rsid w:val="001625B4"/>
    <w:rsid w:val="001625EB"/>
    <w:rsid w:val="001626A1"/>
    <w:rsid w:val="00162800"/>
    <w:rsid w:val="00162D8E"/>
    <w:rsid w:val="001638E4"/>
    <w:rsid w:val="001639B1"/>
    <w:rsid w:val="00163BE1"/>
    <w:rsid w:val="00163F15"/>
    <w:rsid w:val="0016456C"/>
    <w:rsid w:val="0016460D"/>
    <w:rsid w:val="00164778"/>
    <w:rsid w:val="0016498B"/>
    <w:rsid w:val="00164E03"/>
    <w:rsid w:val="00164EAC"/>
    <w:rsid w:val="00164F55"/>
    <w:rsid w:val="0016573C"/>
    <w:rsid w:val="0016593E"/>
    <w:rsid w:val="00165A7A"/>
    <w:rsid w:val="00165C45"/>
    <w:rsid w:val="00166010"/>
    <w:rsid w:val="001662AA"/>
    <w:rsid w:val="001662DC"/>
    <w:rsid w:val="00166363"/>
    <w:rsid w:val="001665BA"/>
    <w:rsid w:val="00166729"/>
    <w:rsid w:val="00166732"/>
    <w:rsid w:val="001672E2"/>
    <w:rsid w:val="00167480"/>
    <w:rsid w:val="001677DC"/>
    <w:rsid w:val="0016788D"/>
    <w:rsid w:val="00167BB2"/>
    <w:rsid w:val="00167C87"/>
    <w:rsid w:val="001700DF"/>
    <w:rsid w:val="00170328"/>
    <w:rsid w:val="00170632"/>
    <w:rsid w:val="001709DE"/>
    <w:rsid w:val="00170CCF"/>
    <w:rsid w:val="0017100A"/>
    <w:rsid w:val="001711CC"/>
    <w:rsid w:val="00171413"/>
    <w:rsid w:val="00171D45"/>
    <w:rsid w:val="0017222D"/>
    <w:rsid w:val="0017247D"/>
    <w:rsid w:val="001726B6"/>
    <w:rsid w:val="00172A47"/>
    <w:rsid w:val="00172B45"/>
    <w:rsid w:val="00172B83"/>
    <w:rsid w:val="001730F4"/>
    <w:rsid w:val="00173400"/>
    <w:rsid w:val="001734D8"/>
    <w:rsid w:val="0017362A"/>
    <w:rsid w:val="0017378D"/>
    <w:rsid w:val="001739E0"/>
    <w:rsid w:val="00174695"/>
    <w:rsid w:val="00174841"/>
    <w:rsid w:val="00174A79"/>
    <w:rsid w:val="00175521"/>
    <w:rsid w:val="00175B4E"/>
    <w:rsid w:val="00175B5C"/>
    <w:rsid w:val="00175D40"/>
    <w:rsid w:val="00175FD8"/>
    <w:rsid w:val="0017608A"/>
    <w:rsid w:val="001761F6"/>
    <w:rsid w:val="00176550"/>
    <w:rsid w:val="001767B5"/>
    <w:rsid w:val="00176B57"/>
    <w:rsid w:val="00176D74"/>
    <w:rsid w:val="0017732F"/>
    <w:rsid w:val="00177361"/>
    <w:rsid w:val="001777EB"/>
    <w:rsid w:val="0017799B"/>
    <w:rsid w:val="00180494"/>
    <w:rsid w:val="00180515"/>
    <w:rsid w:val="0018077A"/>
    <w:rsid w:val="00180BC9"/>
    <w:rsid w:val="00180ED1"/>
    <w:rsid w:val="0018184D"/>
    <w:rsid w:val="001819A0"/>
    <w:rsid w:val="00181CA6"/>
    <w:rsid w:val="001821CB"/>
    <w:rsid w:val="00182396"/>
    <w:rsid w:val="001828A1"/>
    <w:rsid w:val="00182952"/>
    <w:rsid w:val="00182A4A"/>
    <w:rsid w:val="00182CB4"/>
    <w:rsid w:val="00183145"/>
    <w:rsid w:val="00183380"/>
    <w:rsid w:val="0018375F"/>
    <w:rsid w:val="001837D3"/>
    <w:rsid w:val="00183905"/>
    <w:rsid w:val="00183F7D"/>
    <w:rsid w:val="0018405F"/>
    <w:rsid w:val="00184557"/>
    <w:rsid w:val="00184652"/>
    <w:rsid w:val="00184A1A"/>
    <w:rsid w:val="00184D2D"/>
    <w:rsid w:val="00184D69"/>
    <w:rsid w:val="001853CF"/>
    <w:rsid w:val="001856C9"/>
    <w:rsid w:val="00185BBF"/>
    <w:rsid w:val="00185CBF"/>
    <w:rsid w:val="00185CCE"/>
    <w:rsid w:val="00186BD0"/>
    <w:rsid w:val="00186C5A"/>
    <w:rsid w:val="00186FD6"/>
    <w:rsid w:val="00187548"/>
    <w:rsid w:val="00187A9E"/>
    <w:rsid w:val="00187E43"/>
    <w:rsid w:val="00190217"/>
    <w:rsid w:val="00190A1D"/>
    <w:rsid w:val="00190E32"/>
    <w:rsid w:val="00190E76"/>
    <w:rsid w:val="00191608"/>
    <w:rsid w:val="00191816"/>
    <w:rsid w:val="001918E5"/>
    <w:rsid w:val="00192612"/>
    <w:rsid w:val="001927B6"/>
    <w:rsid w:val="00192ACE"/>
    <w:rsid w:val="00192E72"/>
    <w:rsid w:val="00193936"/>
    <w:rsid w:val="00193DEA"/>
    <w:rsid w:val="00194046"/>
    <w:rsid w:val="00194575"/>
    <w:rsid w:val="00194669"/>
    <w:rsid w:val="00194A39"/>
    <w:rsid w:val="00194F55"/>
    <w:rsid w:val="001951E7"/>
    <w:rsid w:val="001957D2"/>
    <w:rsid w:val="001958C7"/>
    <w:rsid w:val="00195939"/>
    <w:rsid w:val="00195B20"/>
    <w:rsid w:val="00195DA3"/>
    <w:rsid w:val="00196166"/>
    <w:rsid w:val="001961B6"/>
    <w:rsid w:val="0019665F"/>
    <w:rsid w:val="001966E0"/>
    <w:rsid w:val="001967C2"/>
    <w:rsid w:val="00196DBF"/>
    <w:rsid w:val="00197233"/>
    <w:rsid w:val="001979FB"/>
    <w:rsid w:val="00197D22"/>
    <w:rsid w:val="00197E7C"/>
    <w:rsid w:val="001A03EE"/>
    <w:rsid w:val="001A046A"/>
    <w:rsid w:val="001A055C"/>
    <w:rsid w:val="001A084D"/>
    <w:rsid w:val="001A0854"/>
    <w:rsid w:val="001A0D7E"/>
    <w:rsid w:val="001A0F0D"/>
    <w:rsid w:val="001A15B3"/>
    <w:rsid w:val="001A2025"/>
    <w:rsid w:val="001A205C"/>
    <w:rsid w:val="001A2DC6"/>
    <w:rsid w:val="001A2FA6"/>
    <w:rsid w:val="001A3167"/>
    <w:rsid w:val="001A34C6"/>
    <w:rsid w:val="001A350D"/>
    <w:rsid w:val="001A37FE"/>
    <w:rsid w:val="001A39D3"/>
    <w:rsid w:val="001A3BC0"/>
    <w:rsid w:val="001A3C36"/>
    <w:rsid w:val="001A4215"/>
    <w:rsid w:val="001A4229"/>
    <w:rsid w:val="001A42E9"/>
    <w:rsid w:val="001A4347"/>
    <w:rsid w:val="001A48AB"/>
    <w:rsid w:val="001A500B"/>
    <w:rsid w:val="001A500D"/>
    <w:rsid w:val="001A5CAB"/>
    <w:rsid w:val="001A5CF9"/>
    <w:rsid w:val="001A60A5"/>
    <w:rsid w:val="001A61F8"/>
    <w:rsid w:val="001A6312"/>
    <w:rsid w:val="001A6559"/>
    <w:rsid w:val="001A6630"/>
    <w:rsid w:val="001A6AB0"/>
    <w:rsid w:val="001A6AD5"/>
    <w:rsid w:val="001A6BE6"/>
    <w:rsid w:val="001A7262"/>
    <w:rsid w:val="001A782B"/>
    <w:rsid w:val="001A78DE"/>
    <w:rsid w:val="001A7B62"/>
    <w:rsid w:val="001B00A4"/>
    <w:rsid w:val="001B0239"/>
    <w:rsid w:val="001B10B7"/>
    <w:rsid w:val="001B11A3"/>
    <w:rsid w:val="001B1847"/>
    <w:rsid w:val="001B1C94"/>
    <w:rsid w:val="001B2330"/>
    <w:rsid w:val="001B2BC7"/>
    <w:rsid w:val="001B2DB7"/>
    <w:rsid w:val="001B2EED"/>
    <w:rsid w:val="001B3108"/>
    <w:rsid w:val="001B34F1"/>
    <w:rsid w:val="001B3C81"/>
    <w:rsid w:val="001B3CB4"/>
    <w:rsid w:val="001B4083"/>
    <w:rsid w:val="001B4086"/>
    <w:rsid w:val="001B4275"/>
    <w:rsid w:val="001B452A"/>
    <w:rsid w:val="001B4625"/>
    <w:rsid w:val="001B4B1A"/>
    <w:rsid w:val="001B4CC1"/>
    <w:rsid w:val="001B4E3C"/>
    <w:rsid w:val="001B4F50"/>
    <w:rsid w:val="001B5023"/>
    <w:rsid w:val="001B506A"/>
    <w:rsid w:val="001B539C"/>
    <w:rsid w:val="001B57F7"/>
    <w:rsid w:val="001B5F98"/>
    <w:rsid w:val="001B60ED"/>
    <w:rsid w:val="001B6589"/>
    <w:rsid w:val="001B664E"/>
    <w:rsid w:val="001B68BD"/>
    <w:rsid w:val="001B6C29"/>
    <w:rsid w:val="001B7144"/>
    <w:rsid w:val="001B73DB"/>
    <w:rsid w:val="001B7719"/>
    <w:rsid w:val="001B771D"/>
    <w:rsid w:val="001B77D7"/>
    <w:rsid w:val="001B7D78"/>
    <w:rsid w:val="001C039A"/>
    <w:rsid w:val="001C07CB"/>
    <w:rsid w:val="001C07DB"/>
    <w:rsid w:val="001C0FEC"/>
    <w:rsid w:val="001C0FFE"/>
    <w:rsid w:val="001C11DF"/>
    <w:rsid w:val="001C15B6"/>
    <w:rsid w:val="001C1875"/>
    <w:rsid w:val="001C192B"/>
    <w:rsid w:val="001C1973"/>
    <w:rsid w:val="001C1A83"/>
    <w:rsid w:val="001C1FF4"/>
    <w:rsid w:val="001C2008"/>
    <w:rsid w:val="001C226F"/>
    <w:rsid w:val="001C255D"/>
    <w:rsid w:val="001C2D11"/>
    <w:rsid w:val="001C2D53"/>
    <w:rsid w:val="001C3036"/>
    <w:rsid w:val="001C30AD"/>
    <w:rsid w:val="001C354B"/>
    <w:rsid w:val="001C36D3"/>
    <w:rsid w:val="001C3912"/>
    <w:rsid w:val="001C3E3F"/>
    <w:rsid w:val="001C455E"/>
    <w:rsid w:val="001C4725"/>
    <w:rsid w:val="001C47AD"/>
    <w:rsid w:val="001C4C02"/>
    <w:rsid w:val="001C525A"/>
    <w:rsid w:val="001C5935"/>
    <w:rsid w:val="001C67C3"/>
    <w:rsid w:val="001C6B38"/>
    <w:rsid w:val="001C6B8B"/>
    <w:rsid w:val="001C6C75"/>
    <w:rsid w:val="001C6C95"/>
    <w:rsid w:val="001C6F2D"/>
    <w:rsid w:val="001C716E"/>
    <w:rsid w:val="001C724D"/>
    <w:rsid w:val="001C74AF"/>
    <w:rsid w:val="001C7648"/>
    <w:rsid w:val="001C766E"/>
    <w:rsid w:val="001C7761"/>
    <w:rsid w:val="001C7F0A"/>
    <w:rsid w:val="001D01FD"/>
    <w:rsid w:val="001D03A9"/>
    <w:rsid w:val="001D03BC"/>
    <w:rsid w:val="001D05AC"/>
    <w:rsid w:val="001D0794"/>
    <w:rsid w:val="001D07C4"/>
    <w:rsid w:val="001D097E"/>
    <w:rsid w:val="001D0BC5"/>
    <w:rsid w:val="001D114B"/>
    <w:rsid w:val="001D14C1"/>
    <w:rsid w:val="001D15A8"/>
    <w:rsid w:val="001D15BE"/>
    <w:rsid w:val="001D16BF"/>
    <w:rsid w:val="001D1E37"/>
    <w:rsid w:val="001D2666"/>
    <w:rsid w:val="001D27C0"/>
    <w:rsid w:val="001D2B61"/>
    <w:rsid w:val="001D2FA6"/>
    <w:rsid w:val="001D3304"/>
    <w:rsid w:val="001D3751"/>
    <w:rsid w:val="001D38B7"/>
    <w:rsid w:val="001D3FDD"/>
    <w:rsid w:val="001D40B5"/>
    <w:rsid w:val="001D42D6"/>
    <w:rsid w:val="001D4616"/>
    <w:rsid w:val="001D47F0"/>
    <w:rsid w:val="001D499E"/>
    <w:rsid w:val="001D4E3E"/>
    <w:rsid w:val="001D5374"/>
    <w:rsid w:val="001D55A9"/>
    <w:rsid w:val="001D59F3"/>
    <w:rsid w:val="001D5FDB"/>
    <w:rsid w:val="001D5FE6"/>
    <w:rsid w:val="001D6055"/>
    <w:rsid w:val="001D64E4"/>
    <w:rsid w:val="001D6A85"/>
    <w:rsid w:val="001D6B8B"/>
    <w:rsid w:val="001D7772"/>
    <w:rsid w:val="001D77C0"/>
    <w:rsid w:val="001D79E9"/>
    <w:rsid w:val="001D7C70"/>
    <w:rsid w:val="001E02F1"/>
    <w:rsid w:val="001E05FD"/>
    <w:rsid w:val="001E07F5"/>
    <w:rsid w:val="001E0888"/>
    <w:rsid w:val="001E0B2A"/>
    <w:rsid w:val="001E0B3A"/>
    <w:rsid w:val="001E0C64"/>
    <w:rsid w:val="001E0EE0"/>
    <w:rsid w:val="001E155D"/>
    <w:rsid w:val="001E1652"/>
    <w:rsid w:val="001E1ADE"/>
    <w:rsid w:val="001E1D28"/>
    <w:rsid w:val="001E1D5A"/>
    <w:rsid w:val="001E1DA9"/>
    <w:rsid w:val="001E28A4"/>
    <w:rsid w:val="001E293D"/>
    <w:rsid w:val="001E2DC7"/>
    <w:rsid w:val="001E2EEB"/>
    <w:rsid w:val="001E3002"/>
    <w:rsid w:val="001E30C2"/>
    <w:rsid w:val="001E3F03"/>
    <w:rsid w:val="001E3FD9"/>
    <w:rsid w:val="001E4140"/>
    <w:rsid w:val="001E4311"/>
    <w:rsid w:val="001E4AE3"/>
    <w:rsid w:val="001E4AFA"/>
    <w:rsid w:val="001E4B66"/>
    <w:rsid w:val="001E4C7E"/>
    <w:rsid w:val="001E5104"/>
    <w:rsid w:val="001E5362"/>
    <w:rsid w:val="001E60B8"/>
    <w:rsid w:val="001E65EC"/>
    <w:rsid w:val="001E6835"/>
    <w:rsid w:val="001E6947"/>
    <w:rsid w:val="001E6E18"/>
    <w:rsid w:val="001E6E83"/>
    <w:rsid w:val="001E7301"/>
    <w:rsid w:val="001E7A2A"/>
    <w:rsid w:val="001E7ECB"/>
    <w:rsid w:val="001F014E"/>
    <w:rsid w:val="001F019C"/>
    <w:rsid w:val="001F0354"/>
    <w:rsid w:val="001F0357"/>
    <w:rsid w:val="001F06A8"/>
    <w:rsid w:val="001F09D0"/>
    <w:rsid w:val="001F0A1E"/>
    <w:rsid w:val="001F0A8C"/>
    <w:rsid w:val="001F0DC1"/>
    <w:rsid w:val="001F0E70"/>
    <w:rsid w:val="001F0EBE"/>
    <w:rsid w:val="001F142D"/>
    <w:rsid w:val="001F14A5"/>
    <w:rsid w:val="001F14E2"/>
    <w:rsid w:val="001F15F4"/>
    <w:rsid w:val="001F1BDF"/>
    <w:rsid w:val="001F2450"/>
    <w:rsid w:val="001F2E7D"/>
    <w:rsid w:val="001F2EB7"/>
    <w:rsid w:val="001F2F39"/>
    <w:rsid w:val="001F3020"/>
    <w:rsid w:val="001F30EA"/>
    <w:rsid w:val="001F35F0"/>
    <w:rsid w:val="001F3A25"/>
    <w:rsid w:val="001F3C03"/>
    <w:rsid w:val="001F3D5E"/>
    <w:rsid w:val="001F41F5"/>
    <w:rsid w:val="001F49A3"/>
    <w:rsid w:val="001F4A79"/>
    <w:rsid w:val="001F5435"/>
    <w:rsid w:val="001F5EED"/>
    <w:rsid w:val="001F62AD"/>
    <w:rsid w:val="001F63F2"/>
    <w:rsid w:val="001F6EC2"/>
    <w:rsid w:val="001F6F4F"/>
    <w:rsid w:val="001F6FAB"/>
    <w:rsid w:val="001F71E8"/>
    <w:rsid w:val="001F72DD"/>
    <w:rsid w:val="001F7575"/>
    <w:rsid w:val="001F75E8"/>
    <w:rsid w:val="001F7EF8"/>
    <w:rsid w:val="001F7F1A"/>
    <w:rsid w:val="00200360"/>
    <w:rsid w:val="00200601"/>
    <w:rsid w:val="00200AD4"/>
    <w:rsid w:val="00200B85"/>
    <w:rsid w:val="00200E8A"/>
    <w:rsid w:val="00200F29"/>
    <w:rsid w:val="00200FAA"/>
    <w:rsid w:val="00201082"/>
    <w:rsid w:val="00201435"/>
    <w:rsid w:val="00201438"/>
    <w:rsid w:val="0020158F"/>
    <w:rsid w:val="00201C31"/>
    <w:rsid w:val="00201D74"/>
    <w:rsid w:val="00201ECA"/>
    <w:rsid w:val="00202A5C"/>
    <w:rsid w:val="00202B27"/>
    <w:rsid w:val="00202E27"/>
    <w:rsid w:val="00202E9D"/>
    <w:rsid w:val="002030B9"/>
    <w:rsid w:val="00203841"/>
    <w:rsid w:val="002039C2"/>
    <w:rsid w:val="00203FB8"/>
    <w:rsid w:val="00203FC9"/>
    <w:rsid w:val="00204C3C"/>
    <w:rsid w:val="00204CF8"/>
    <w:rsid w:val="00204EF7"/>
    <w:rsid w:val="002050A1"/>
    <w:rsid w:val="002050D4"/>
    <w:rsid w:val="0020546A"/>
    <w:rsid w:val="002054A5"/>
    <w:rsid w:val="002055D9"/>
    <w:rsid w:val="00205ACC"/>
    <w:rsid w:val="00205F8D"/>
    <w:rsid w:val="0020602D"/>
    <w:rsid w:val="00206EC9"/>
    <w:rsid w:val="002078A8"/>
    <w:rsid w:val="002078D7"/>
    <w:rsid w:val="00210256"/>
    <w:rsid w:val="0021030E"/>
    <w:rsid w:val="002108E7"/>
    <w:rsid w:val="00210939"/>
    <w:rsid w:val="00210BB3"/>
    <w:rsid w:val="00210D65"/>
    <w:rsid w:val="0021117D"/>
    <w:rsid w:val="002111F7"/>
    <w:rsid w:val="0021133F"/>
    <w:rsid w:val="00212235"/>
    <w:rsid w:val="00212311"/>
    <w:rsid w:val="0021236D"/>
    <w:rsid w:val="00212A75"/>
    <w:rsid w:val="00212AB4"/>
    <w:rsid w:val="002132B7"/>
    <w:rsid w:val="002135A5"/>
    <w:rsid w:val="002138FF"/>
    <w:rsid w:val="00213B03"/>
    <w:rsid w:val="00213CA8"/>
    <w:rsid w:val="00213F80"/>
    <w:rsid w:val="00214271"/>
    <w:rsid w:val="002149B5"/>
    <w:rsid w:val="0021505C"/>
    <w:rsid w:val="0021533A"/>
    <w:rsid w:val="0021560C"/>
    <w:rsid w:val="0021591F"/>
    <w:rsid w:val="00215E60"/>
    <w:rsid w:val="00215E7B"/>
    <w:rsid w:val="00216491"/>
    <w:rsid w:val="002164E9"/>
    <w:rsid w:val="0021667E"/>
    <w:rsid w:val="002167B8"/>
    <w:rsid w:val="00216E41"/>
    <w:rsid w:val="00216F63"/>
    <w:rsid w:val="0021732D"/>
    <w:rsid w:val="002178A8"/>
    <w:rsid w:val="002178B8"/>
    <w:rsid w:val="00217A16"/>
    <w:rsid w:val="00217AE4"/>
    <w:rsid w:val="00217B35"/>
    <w:rsid w:val="00217B9B"/>
    <w:rsid w:val="00217DBA"/>
    <w:rsid w:val="00217E16"/>
    <w:rsid w:val="002201AE"/>
    <w:rsid w:val="002202E1"/>
    <w:rsid w:val="002203BB"/>
    <w:rsid w:val="00220A02"/>
    <w:rsid w:val="002210DD"/>
    <w:rsid w:val="002211C5"/>
    <w:rsid w:val="00221229"/>
    <w:rsid w:val="002214CC"/>
    <w:rsid w:val="002218CC"/>
    <w:rsid w:val="00222107"/>
    <w:rsid w:val="002226B3"/>
    <w:rsid w:val="002226BF"/>
    <w:rsid w:val="00222B58"/>
    <w:rsid w:val="00223135"/>
    <w:rsid w:val="00223201"/>
    <w:rsid w:val="002232A2"/>
    <w:rsid w:val="002233EB"/>
    <w:rsid w:val="002237E0"/>
    <w:rsid w:val="0022386E"/>
    <w:rsid w:val="00223A4F"/>
    <w:rsid w:val="0022471C"/>
    <w:rsid w:val="0022488A"/>
    <w:rsid w:val="00224E59"/>
    <w:rsid w:val="00224FD4"/>
    <w:rsid w:val="0022553B"/>
    <w:rsid w:val="002255E2"/>
    <w:rsid w:val="002255F2"/>
    <w:rsid w:val="0022563E"/>
    <w:rsid w:val="00225AA1"/>
    <w:rsid w:val="0022608F"/>
    <w:rsid w:val="002278D4"/>
    <w:rsid w:val="00227BC5"/>
    <w:rsid w:val="00227D15"/>
    <w:rsid w:val="0023034F"/>
    <w:rsid w:val="0023048E"/>
    <w:rsid w:val="00230C6B"/>
    <w:rsid w:val="00230CEB"/>
    <w:rsid w:val="0023131D"/>
    <w:rsid w:val="002314E8"/>
    <w:rsid w:val="002316C1"/>
    <w:rsid w:val="002318C9"/>
    <w:rsid w:val="00231B32"/>
    <w:rsid w:val="00231B6F"/>
    <w:rsid w:val="00231DC7"/>
    <w:rsid w:val="0023272E"/>
    <w:rsid w:val="0023337B"/>
    <w:rsid w:val="002336B3"/>
    <w:rsid w:val="00233A86"/>
    <w:rsid w:val="00233CEF"/>
    <w:rsid w:val="00233FBD"/>
    <w:rsid w:val="00234252"/>
    <w:rsid w:val="00234340"/>
    <w:rsid w:val="002348A2"/>
    <w:rsid w:val="00234A76"/>
    <w:rsid w:val="002352DB"/>
    <w:rsid w:val="002355A9"/>
    <w:rsid w:val="00235951"/>
    <w:rsid w:val="00235B31"/>
    <w:rsid w:val="00235BE9"/>
    <w:rsid w:val="00235EFE"/>
    <w:rsid w:val="00235FFF"/>
    <w:rsid w:val="00236605"/>
    <w:rsid w:val="00236665"/>
    <w:rsid w:val="0023674D"/>
    <w:rsid w:val="00236BDB"/>
    <w:rsid w:val="00236C58"/>
    <w:rsid w:val="00236E21"/>
    <w:rsid w:val="0023727F"/>
    <w:rsid w:val="002372CF"/>
    <w:rsid w:val="00237679"/>
    <w:rsid w:val="00237F10"/>
    <w:rsid w:val="00237F8A"/>
    <w:rsid w:val="00240663"/>
    <w:rsid w:val="002408C8"/>
    <w:rsid w:val="00240AAF"/>
    <w:rsid w:val="002412E4"/>
    <w:rsid w:val="0024133A"/>
    <w:rsid w:val="00241B47"/>
    <w:rsid w:val="00241B70"/>
    <w:rsid w:val="00242026"/>
    <w:rsid w:val="00242262"/>
    <w:rsid w:val="00242BA7"/>
    <w:rsid w:val="00242C7B"/>
    <w:rsid w:val="00242DC4"/>
    <w:rsid w:val="00243282"/>
    <w:rsid w:val="00243331"/>
    <w:rsid w:val="00243753"/>
    <w:rsid w:val="002438D0"/>
    <w:rsid w:val="00243FF9"/>
    <w:rsid w:val="00244094"/>
    <w:rsid w:val="0024433E"/>
    <w:rsid w:val="00244414"/>
    <w:rsid w:val="00244F06"/>
    <w:rsid w:val="002455BF"/>
    <w:rsid w:val="002455CF"/>
    <w:rsid w:val="002456C4"/>
    <w:rsid w:val="00245E7D"/>
    <w:rsid w:val="00246004"/>
    <w:rsid w:val="00246386"/>
    <w:rsid w:val="002463B6"/>
    <w:rsid w:val="002463BB"/>
    <w:rsid w:val="00246F7F"/>
    <w:rsid w:val="00246F8A"/>
    <w:rsid w:val="00247047"/>
    <w:rsid w:val="002470A2"/>
    <w:rsid w:val="0024753E"/>
    <w:rsid w:val="0024778D"/>
    <w:rsid w:val="00247C49"/>
    <w:rsid w:val="00247F00"/>
    <w:rsid w:val="002500AC"/>
    <w:rsid w:val="00250329"/>
    <w:rsid w:val="00250520"/>
    <w:rsid w:val="0025084F"/>
    <w:rsid w:val="00251407"/>
    <w:rsid w:val="00251456"/>
    <w:rsid w:val="002516FB"/>
    <w:rsid w:val="00251A38"/>
    <w:rsid w:val="00251A6C"/>
    <w:rsid w:val="00251C42"/>
    <w:rsid w:val="00251CF4"/>
    <w:rsid w:val="00251E44"/>
    <w:rsid w:val="00251E7D"/>
    <w:rsid w:val="00252010"/>
    <w:rsid w:val="002520FA"/>
    <w:rsid w:val="00252107"/>
    <w:rsid w:val="002526BB"/>
    <w:rsid w:val="00252D5E"/>
    <w:rsid w:val="00252D70"/>
    <w:rsid w:val="00253415"/>
    <w:rsid w:val="00253A61"/>
    <w:rsid w:val="00253BA4"/>
    <w:rsid w:val="00253DE4"/>
    <w:rsid w:val="00254457"/>
    <w:rsid w:val="00254933"/>
    <w:rsid w:val="00254DC6"/>
    <w:rsid w:val="00254E34"/>
    <w:rsid w:val="00254EAA"/>
    <w:rsid w:val="00254ED1"/>
    <w:rsid w:val="00254ED6"/>
    <w:rsid w:val="00255486"/>
    <w:rsid w:val="002557E5"/>
    <w:rsid w:val="00255846"/>
    <w:rsid w:val="00255F81"/>
    <w:rsid w:val="002560D8"/>
    <w:rsid w:val="002561F7"/>
    <w:rsid w:val="002563B7"/>
    <w:rsid w:val="002569E3"/>
    <w:rsid w:val="002570AE"/>
    <w:rsid w:val="002574F5"/>
    <w:rsid w:val="0025756A"/>
    <w:rsid w:val="002577C5"/>
    <w:rsid w:val="002578BD"/>
    <w:rsid w:val="0025791F"/>
    <w:rsid w:val="00257B82"/>
    <w:rsid w:val="00257FD6"/>
    <w:rsid w:val="002601F3"/>
    <w:rsid w:val="00260515"/>
    <w:rsid w:val="00260826"/>
    <w:rsid w:val="002608A1"/>
    <w:rsid w:val="00260A64"/>
    <w:rsid w:val="00260C14"/>
    <w:rsid w:val="002611D7"/>
    <w:rsid w:val="00261578"/>
    <w:rsid w:val="002619D9"/>
    <w:rsid w:val="00261B08"/>
    <w:rsid w:val="00261C7A"/>
    <w:rsid w:val="00261CE9"/>
    <w:rsid w:val="002621C8"/>
    <w:rsid w:val="00262649"/>
    <w:rsid w:val="002629FF"/>
    <w:rsid w:val="00262A3E"/>
    <w:rsid w:val="00262B4A"/>
    <w:rsid w:val="00262BCA"/>
    <w:rsid w:val="00262FAF"/>
    <w:rsid w:val="0026302C"/>
    <w:rsid w:val="002630E1"/>
    <w:rsid w:val="0026314D"/>
    <w:rsid w:val="002638E4"/>
    <w:rsid w:val="00263B70"/>
    <w:rsid w:val="0026428C"/>
    <w:rsid w:val="002647D1"/>
    <w:rsid w:val="002647FA"/>
    <w:rsid w:val="00264AF7"/>
    <w:rsid w:val="002650B9"/>
    <w:rsid w:val="00265105"/>
    <w:rsid w:val="00265320"/>
    <w:rsid w:val="002654B5"/>
    <w:rsid w:val="002656DD"/>
    <w:rsid w:val="00265C52"/>
    <w:rsid w:val="002664CF"/>
    <w:rsid w:val="0026696A"/>
    <w:rsid w:val="00267707"/>
    <w:rsid w:val="00267F57"/>
    <w:rsid w:val="002709D9"/>
    <w:rsid w:val="00270AAF"/>
    <w:rsid w:val="00270D54"/>
    <w:rsid w:val="00270DC0"/>
    <w:rsid w:val="002712E2"/>
    <w:rsid w:val="00271881"/>
    <w:rsid w:val="00271D9F"/>
    <w:rsid w:val="00271DF8"/>
    <w:rsid w:val="002726EE"/>
    <w:rsid w:val="00272AE3"/>
    <w:rsid w:val="0027372C"/>
    <w:rsid w:val="002738D9"/>
    <w:rsid w:val="00273C3E"/>
    <w:rsid w:val="00273D82"/>
    <w:rsid w:val="002740F5"/>
    <w:rsid w:val="00274482"/>
    <w:rsid w:val="0027454A"/>
    <w:rsid w:val="00274826"/>
    <w:rsid w:val="00274A6A"/>
    <w:rsid w:val="00274AFC"/>
    <w:rsid w:val="00274BF4"/>
    <w:rsid w:val="00274F21"/>
    <w:rsid w:val="00274F5C"/>
    <w:rsid w:val="0027530B"/>
    <w:rsid w:val="0027535B"/>
    <w:rsid w:val="0027571C"/>
    <w:rsid w:val="00276B48"/>
    <w:rsid w:val="00276CC5"/>
    <w:rsid w:val="00277412"/>
    <w:rsid w:val="00277691"/>
    <w:rsid w:val="002776F1"/>
    <w:rsid w:val="00277E19"/>
    <w:rsid w:val="00280635"/>
    <w:rsid w:val="00280E09"/>
    <w:rsid w:val="002810AF"/>
    <w:rsid w:val="00281172"/>
    <w:rsid w:val="0028134A"/>
    <w:rsid w:val="0028170A"/>
    <w:rsid w:val="00281BBB"/>
    <w:rsid w:val="00281F94"/>
    <w:rsid w:val="00282120"/>
    <w:rsid w:val="00282333"/>
    <w:rsid w:val="002823D3"/>
    <w:rsid w:val="002826C2"/>
    <w:rsid w:val="002829E3"/>
    <w:rsid w:val="0028308D"/>
    <w:rsid w:val="0028379B"/>
    <w:rsid w:val="00284113"/>
    <w:rsid w:val="00284505"/>
    <w:rsid w:val="00284A37"/>
    <w:rsid w:val="00284DF7"/>
    <w:rsid w:val="0028524A"/>
    <w:rsid w:val="00285305"/>
    <w:rsid w:val="00285567"/>
    <w:rsid w:val="0028583D"/>
    <w:rsid w:val="00285EE5"/>
    <w:rsid w:val="0028673E"/>
    <w:rsid w:val="002867C9"/>
    <w:rsid w:val="00286B05"/>
    <w:rsid w:val="0029021A"/>
    <w:rsid w:val="002903E7"/>
    <w:rsid w:val="002904EF"/>
    <w:rsid w:val="00290EC3"/>
    <w:rsid w:val="0029115E"/>
    <w:rsid w:val="002918FF"/>
    <w:rsid w:val="0029195A"/>
    <w:rsid w:val="00291B65"/>
    <w:rsid w:val="00292093"/>
    <w:rsid w:val="0029209E"/>
    <w:rsid w:val="00292231"/>
    <w:rsid w:val="00292456"/>
    <w:rsid w:val="0029249B"/>
    <w:rsid w:val="00292650"/>
    <w:rsid w:val="00292967"/>
    <w:rsid w:val="00292A07"/>
    <w:rsid w:val="00292EE8"/>
    <w:rsid w:val="00292FA3"/>
    <w:rsid w:val="00292FEB"/>
    <w:rsid w:val="0029330E"/>
    <w:rsid w:val="0029334A"/>
    <w:rsid w:val="002934A2"/>
    <w:rsid w:val="00293828"/>
    <w:rsid w:val="00293BAD"/>
    <w:rsid w:val="00294052"/>
    <w:rsid w:val="0029410D"/>
    <w:rsid w:val="00294226"/>
    <w:rsid w:val="0029428F"/>
    <w:rsid w:val="00294584"/>
    <w:rsid w:val="002947BF"/>
    <w:rsid w:val="00294818"/>
    <w:rsid w:val="0029530A"/>
    <w:rsid w:val="0029543B"/>
    <w:rsid w:val="002954FB"/>
    <w:rsid w:val="002956F3"/>
    <w:rsid w:val="002959AB"/>
    <w:rsid w:val="00295A2E"/>
    <w:rsid w:val="00295B84"/>
    <w:rsid w:val="002960ED"/>
    <w:rsid w:val="0029610A"/>
    <w:rsid w:val="002961EC"/>
    <w:rsid w:val="00296280"/>
    <w:rsid w:val="0029649E"/>
    <w:rsid w:val="002964DB"/>
    <w:rsid w:val="00296587"/>
    <w:rsid w:val="002965C0"/>
    <w:rsid w:val="002969A0"/>
    <w:rsid w:val="00296BE5"/>
    <w:rsid w:val="00297074"/>
    <w:rsid w:val="00297167"/>
    <w:rsid w:val="0029722F"/>
    <w:rsid w:val="002972C9"/>
    <w:rsid w:val="00297720"/>
    <w:rsid w:val="00297776"/>
    <w:rsid w:val="002978F8"/>
    <w:rsid w:val="00297971"/>
    <w:rsid w:val="00297A6C"/>
    <w:rsid w:val="00297CEE"/>
    <w:rsid w:val="00297EDD"/>
    <w:rsid w:val="002A00A4"/>
    <w:rsid w:val="002A0347"/>
    <w:rsid w:val="002A040B"/>
    <w:rsid w:val="002A0770"/>
    <w:rsid w:val="002A0A43"/>
    <w:rsid w:val="002A0AAB"/>
    <w:rsid w:val="002A0C10"/>
    <w:rsid w:val="002A0E96"/>
    <w:rsid w:val="002A10F3"/>
    <w:rsid w:val="002A15A7"/>
    <w:rsid w:val="002A1652"/>
    <w:rsid w:val="002A1807"/>
    <w:rsid w:val="002A28ED"/>
    <w:rsid w:val="002A2B24"/>
    <w:rsid w:val="002A2B9A"/>
    <w:rsid w:val="002A311B"/>
    <w:rsid w:val="002A33BA"/>
    <w:rsid w:val="002A354F"/>
    <w:rsid w:val="002A3559"/>
    <w:rsid w:val="002A3616"/>
    <w:rsid w:val="002A37AE"/>
    <w:rsid w:val="002A3C43"/>
    <w:rsid w:val="002A403A"/>
    <w:rsid w:val="002A4119"/>
    <w:rsid w:val="002A42C0"/>
    <w:rsid w:val="002A4307"/>
    <w:rsid w:val="002A44D3"/>
    <w:rsid w:val="002A454C"/>
    <w:rsid w:val="002A461E"/>
    <w:rsid w:val="002A4815"/>
    <w:rsid w:val="002A4E2B"/>
    <w:rsid w:val="002A4F7F"/>
    <w:rsid w:val="002A5064"/>
    <w:rsid w:val="002A57A5"/>
    <w:rsid w:val="002A5A76"/>
    <w:rsid w:val="002A5E58"/>
    <w:rsid w:val="002A63A0"/>
    <w:rsid w:val="002A6627"/>
    <w:rsid w:val="002A6966"/>
    <w:rsid w:val="002A6CED"/>
    <w:rsid w:val="002A6EDF"/>
    <w:rsid w:val="002A7273"/>
    <w:rsid w:val="002A7923"/>
    <w:rsid w:val="002A79F9"/>
    <w:rsid w:val="002A7F24"/>
    <w:rsid w:val="002B0416"/>
    <w:rsid w:val="002B05A2"/>
    <w:rsid w:val="002B0A45"/>
    <w:rsid w:val="002B0D7F"/>
    <w:rsid w:val="002B10B6"/>
    <w:rsid w:val="002B1201"/>
    <w:rsid w:val="002B2273"/>
    <w:rsid w:val="002B2419"/>
    <w:rsid w:val="002B2A32"/>
    <w:rsid w:val="002B2C45"/>
    <w:rsid w:val="002B2C9E"/>
    <w:rsid w:val="002B2F2A"/>
    <w:rsid w:val="002B2FD3"/>
    <w:rsid w:val="002B3E7E"/>
    <w:rsid w:val="002B4111"/>
    <w:rsid w:val="002B428D"/>
    <w:rsid w:val="002B430F"/>
    <w:rsid w:val="002B51E6"/>
    <w:rsid w:val="002B5355"/>
    <w:rsid w:val="002B54B3"/>
    <w:rsid w:val="002B59D2"/>
    <w:rsid w:val="002B5A1C"/>
    <w:rsid w:val="002B5ABE"/>
    <w:rsid w:val="002B5D12"/>
    <w:rsid w:val="002B62AC"/>
    <w:rsid w:val="002B65B5"/>
    <w:rsid w:val="002B67FC"/>
    <w:rsid w:val="002B6873"/>
    <w:rsid w:val="002B6C0D"/>
    <w:rsid w:val="002B6CBE"/>
    <w:rsid w:val="002B6E28"/>
    <w:rsid w:val="002B6E7B"/>
    <w:rsid w:val="002B7BE9"/>
    <w:rsid w:val="002B7C4A"/>
    <w:rsid w:val="002B7D58"/>
    <w:rsid w:val="002C04AF"/>
    <w:rsid w:val="002C1111"/>
    <w:rsid w:val="002C12AB"/>
    <w:rsid w:val="002C1759"/>
    <w:rsid w:val="002C1951"/>
    <w:rsid w:val="002C1955"/>
    <w:rsid w:val="002C1A8A"/>
    <w:rsid w:val="002C1BC7"/>
    <w:rsid w:val="002C2056"/>
    <w:rsid w:val="002C21E9"/>
    <w:rsid w:val="002C24B2"/>
    <w:rsid w:val="002C2928"/>
    <w:rsid w:val="002C2942"/>
    <w:rsid w:val="002C2ED8"/>
    <w:rsid w:val="002C329A"/>
    <w:rsid w:val="002C33C0"/>
    <w:rsid w:val="002C3CD7"/>
    <w:rsid w:val="002C3D74"/>
    <w:rsid w:val="002C4390"/>
    <w:rsid w:val="002C4456"/>
    <w:rsid w:val="002C5418"/>
    <w:rsid w:val="002C54BA"/>
    <w:rsid w:val="002C5854"/>
    <w:rsid w:val="002C5B2C"/>
    <w:rsid w:val="002C5EE5"/>
    <w:rsid w:val="002C60F1"/>
    <w:rsid w:val="002C6C72"/>
    <w:rsid w:val="002C7609"/>
    <w:rsid w:val="002C7E45"/>
    <w:rsid w:val="002C7F14"/>
    <w:rsid w:val="002D017A"/>
    <w:rsid w:val="002D01AF"/>
    <w:rsid w:val="002D0279"/>
    <w:rsid w:val="002D0900"/>
    <w:rsid w:val="002D09DD"/>
    <w:rsid w:val="002D0E37"/>
    <w:rsid w:val="002D0F4B"/>
    <w:rsid w:val="002D135E"/>
    <w:rsid w:val="002D1C08"/>
    <w:rsid w:val="002D1FAD"/>
    <w:rsid w:val="002D20D1"/>
    <w:rsid w:val="002D21B2"/>
    <w:rsid w:val="002D28F5"/>
    <w:rsid w:val="002D29D9"/>
    <w:rsid w:val="002D30A7"/>
    <w:rsid w:val="002D30CE"/>
    <w:rsid w:val="002D3497"/>
    <w:rsid w:val="002D354B"/>
    <w:rsid w:val="002D3603"/>
    <w:rsid w:val="002D376F"/>
    <w:rsid w:val="002D38C1"/>
    <w:rsid w:val="002D3974"/>
    <w:rsid w:val="002D3A80"/>
    <w:rsid w:val="002D3D8B"/>
    <w:rsid w:val="002D42BF"/>
    <w:rsid w:val="002D4426"/>
    <w:rsid w:val="002D4474"/>
    <w:rsid w:val="002D4724"/>
    <w:rsid w:val="002D5331"/>
    <w:rsid w:val="002D57CB"/>
    <w:rsid w:val="002D584B"/>
    <w:rsid w:val="002D58B6"/>
    <w:rsid w:val="002D5DFB"/>
    <w:rsid w:val="002D5E6F"/>
    <w:rsid w:val="002D5F12"/>
    <w:rsid w:val="002D615D"/>
    <w:rsid w:val="002D6192"/>
    <w:rsid w:val="002D632E"/>
    <w:rsid w:val="002D6346"/>
    <w:rsid w:val="002D69FE"/>
    <w:rsid w:val="002D6B78"/>
    <w:rsid w:val="002D6DAA"/>
    <w:rsid w:val="002D7280"/>
    <w:rsid w:val="002D7372"/>
    <w:rsid w:val="002D76F1"/>
    <w:rsid w:val="002D7D30"/>
    <w:rsid w:val="002D7EBE"/>
    <w:rsid w:val="002E0042"/>
    <w:rsid w:val="002E0291"/>
    <w:rsid w:val="002E077C"/>
    <w:rsid w:val="002E0C46"/>
    <w:rsid w:val="002E103C"/>
    <w:rsid w:val="002E1D6B"/>
    <w:rsid w:val="002E1FDA"/>
    <w:rsid w:val="002E2419"/>
    <w:rsid w:val="002E27B7"/>
    <w:rsid w:val="002E2A82"/>
    <w:rsid w:val="002E2CB9"/>
    <w:rsid w:val="002E2D4E"/>
    <w:rsid w:val="002E2F60"/>
    <w:rsid w:val="002E306B"/>
    <w:rsid w:val="002E3197"/>
    <w:rsid w:val="002E3233"/>
    <w:rsid w:val="002E3305"/>
    <w:rsid w:val="002E3339"/>
    <w:rsid w:val="002E3795"/>
    <w:rsid w:val="002E3C7F"/>
    <w:rsid w:val="002E3E76"/>
    <w:rsid w:val="002E3EB4"/>
    <w:rsid w:val="002E4027"/>
    <w:rsid w:val="002E41A9"/>
    <w:rsid w:val="002E498D"/>
    <w:rsid w:val="002E4A50"/>
    <w:rsid w:val="002E4B99"/>
    <w:rsid w:val="002E50A3"/>
    <w:rsid w:val="002E52EA"/>
    <w:rsid w:val="002E54A4"/>
    <w:rsid w:val="002E56CB"/>
    <w:rsid w:val="002E5778"/>
    <w:rsid w:val="002E5E00"/>
    <w:rsid w:val="002E62BA"/>
    <w:rsid w:val="002E667B"/>
    <w:rsid w:val="002E66B4"/>
    <w:rsid w:val="002E6CE6"/>
    <w:rsid w:val="002E70BF"/>
    <w:rsid w:val="002E756B"/>
    <w:rsid w:val="002E78FD"/>
    <w:rsid w:val="002F063D"/>
    <w:rsid w:val="002F064E"/>
    <w:rsid w:val="002F0AD9"/>
    <w:rsid w:val="002F0CAA"/>
    <w:rsid w:val="002F0CFA"/>
    <w:rsid w:val="002F107D"/>
    <w:rsid w:val="002F12BF"/>
    <w:rsid w:val="002F12FB"/>
    <w:rsid w:val="002F143C"/>
    <w:rsid w:val="002F15CC"/>
    <w:rsid w:val="002F1A05"/>
    <w:rsid w:val="002F1E30"/>
    <w:rsid w:val="002F271C"/>
    <w:rsid w:val="002F2797"/>
    <w:rsid w:val="002F2A4D"/>
    <w:rsid w:val="002F2C70"/>
    <w:rsid w:val="002F3109"/>
    <w:rsid w:val="002F33C7"/>
    <w:rsid w:val="002F39E6"/>
    <w:rsid w:val="002F4369"/>
    <w:rsid w:val="002F43B6"/>
    <w:rsid w:val="002F4A4E"/>
    <w:rsid w:val="002F4CED"/>
    <w:rsid w:val="002F5031"/>
    <w:rsid w:val="002F5B6F"/>
    <w:rsid w:val="002F61D1"/>
    <w:rsid w:val="002F62F1"/>
    <w:rsid w:val="002F642F"/>
    <w:rsid w:val="002F650C"/>
    <w:rsid w:val="002F6585"/>
    <w:rsid w:val="002F6A80"/>
    <w:rsid w:val="002F6C05"/>
    <w:rsid w:val="002F72F7"/>
    <w:rsid w:val="002F743B"/>
    <w:rsid w:val="002F76AE"/>
    <w:rsid w:val="002F7841"/>
    <w:rsid w:val="002F7D5F"/>
    <w:rsid w:val="002F7DE0"/>
    <w:rsid w:val="003001DA"/>
    <w:rsid w:val="00300688"/>
    <w:rsid w:val="003008AF"/>
    <w:rsid w:val="0030093E"/>
    <w:rsid w:val="00300E3C"/>
    <w:rsid w:val="00300FAB"/>
    <w:rsid w:val="003011A6"/>
    <w:rsid w:val="003017CF"/>
    <w:rsid w:val="003019AD"/>
    <w:rsid w:val="00301C79"/>
    <w:rsid w:val="00301E05"/>
    <w:rsid w:val="003027AD"/>
    <w:rsid w:val="00302AB6"/>
    <w:rsid w:val="00302B46"/>
    <w:rsid w:val="0030303F"/>
    <w:rsid w:val="00303246"/>
    <w:rsid w:val="00303764"/>
    <w:rsid w:val="00303847"/>
    <w:rsid w:val="00303A0C"/>
    <w:rsid w:val="00303BBB"/>
    <w:rsid w:val="00304422"/>
    <w:rsid w:val="003045A1"/>
    <w:rsid w:val="003048B0"/>
    <w:rsid w:val="003048CA"/>
    <w:rsid w:val="003050DA"/>
    <w:rsid w:val="00305114"/>
    <w:rsid w:val="003052C7"/>
    <w:rsid w:val="00305864"/>
    <w:rsid w:val="00305F4E"/>
    <w:rsid w:val="00306165"/>
    <w:rsid w:val="00306262"/>
    <w:rsid w:val="0030650D"/>
    <w:rsid w:val="00306641"/>
    <w:rsid w:val="00306A40"/>
    <w:rsid w:val="00306BB7"/>
    <w:rsid w:val="00306D6B"/>
    <w:rsid w:val="00306F9F"/>
    <w:rsid w:val="003072EE"/>
    <w:rsid w:val="0030735E"/>
    <w:rsid w:val="003074E6"/>
    <w:rsid w:val="003078D5"/>
    <w:rsid w:val="00307B8C"/>
    <w:rsid w:val="00307E60"/>
    <w:rsid w:val="00310111"/>
    <w:rsid w:val="003102F7"/>
    <w:rsid w:val="0031038E"/>
    <w:rsid w:val="00310559"/>
    <w:rsid w:val="00310B01"/>
    <w:rsid w:val="00310BDB"/>
    <w:rsid w:val="00310FF9"/>
    <w:rsid w:val="00311266"/>
    <w:rsid w:val="003115FB"/>
    <w:rsid w:val="00311724"/>
    <w:rsid w:val="00311C05"/>
    <w:rsid w:val="00311CC1"/>
    <w:rsid w:val="00312371"/>
    <w:rsid w:val="00312696"/>
    <w:rsid w:val="00312B10"/>
    <w:rsid w:val="00313190"/>
    <w:rsid w:val="00313385"/>
    <w:rsid w:val="003134E8"/>
    <w:rsid w:val="003139F1"/>
    <w:rsid w:val="00313B7C"/>
    <w:rsid w:val="003145B0"/>
    <w:rsid w:val="00314706"/>
    <w:rsid w:val="00314C98"/>
    <w:rsid w:val="00314E0C"/>
    <w:rsid w:val="003158D6"/>
    <w:rsid w:val="0031599E"/>
    <w:rsid w:val="00315E42"/>
    <w:rsid w:val="003162F3"/>
    <w:rsid w:val="003163CC"/>
    <w:rsid w:val="003164FB"/>
    <w:rsid w:val="00316543"/>
    <w:rsid w:val="00316852"/>
    <w:rsid w:val="003168EA"/>
    <w:rsid w:val="0031699A"/>
    <w:rsid w:val="00316ACC"/>
    <w:rsid w:val="00316C51"/>
    <w:rsid w:val="00317597"/>
    <w:rsid w:val="00317A87"/>
    <w:rsid w:val="0032024B"/>
    <w:rsid w:val="00320258"/>
    <w:rsid w:val="00320A1F"/>
    <w:rsid w:val="00320E94"/>
    <w:rsid w:val="003216FF"/>
    <w:rsid w:val="00321A54"/>
    <w:rsid w:val="00321B8C"/>
    <w:rsid w:val="00321C86"/>
    <w:rsid w:val="00321D5B"/>
    <w:rsid w:val="003220F4"/>
    <w:rsid w:val="00322662"/>
    <w:rsid w:val="00322690"/>
    <w:rsid w:val="00322922"/>
    <w:rsid w:val="00322C19"/>
    <w:rsid w:val="003232C1"/>
    <w:rsid w:val="003236B6"/>
    <w:rsid w:val="00323AA9"/>
    <w:rsid w:val="00323BE3"/>
    <w:rsid w:val="00323D7B"/>
    <w:rsid w:val="00323E48"/>
    <w:rsid w:val="00324116"/>
    <w:rsid w:val="00324292"/>
    <w:rsid w:val="003244CD"/>
    <w:rsid w:val="003245E7"/>
    <w:rsid w:val="00324645"/>
    <w:rsid w:val="003247C3"/>
    <w:rsid w:val="00324951"/>
    <w:rsid w:val="00324AB8"/>
    <w:rsid w:val="00324B4F"/>
    <w:rsid w:val="00324BAF"/>
    <w:rsid w:val="00324CF1"/>
    <w:rsid w:val="00324E08"/>
    <w:rsid w:val="00324E4F"/>
    <w:rsid w:val="0032503A"/>
    <w:rsid w:val="003251D6"/>
    <w:rsid w:val="00325389"/>
    <w:rsid w:val="003253A6"/>
    <w:rsid w:val="003253A7"/>
    <w:rsid w:val="003257F1"/>
    <w:rsid w:val="003258C9"/>
    <w:rsid w:val="00325CCB"/>
    <w:rsid w:val="00325D49"/>
    <w:rsid w:val="00326749"/>
    <w:rsid w:val="0032675B"/>
    <w:rsid w:val="00326A91"/>
    <w:rsid w:val="00326C7C"/>
    <w:rsid w:val="00327096"/>
    <w:rsid w:val="003270E6"/>
    <w:rsid w:val="003271A0"/>
    <w:rsid w:val="00327A3E"/>
    <w:rsid w:val="00327D76"/>
    <w:rsid w:val="00330045"/>
    <w:rsid w:val="003305F5"/>
    <w:rsid w:val="0033095E"/>
    <w:rsid w:val="00331AE1"/>
    <w:rsid w:val="003325A7"/>
    <w:rsid w:val="003327F7"/>
    <w:rsid w:val="00332A31"/>
    <w:rsid w:val="00332AE7"/>
    <w:rsid w:val="00332B8B"/>
    <w:rsid w:val="00332D0E"/>
    <w:rsid w:val="00333149"/>
    <w:rsid w:val="00333192"/>
    <w:rsid w:val="0033319A"/>
    <w:rsid w:val="003338E7"/>
    <w:rsid w:val="00333CF5"/>
    <w:rsid w:val="00334166"/>
    <w:rsid w:val="003342A8"/>
    <w:rsid w:val="00334520"/>
    <w:rsid w:val="003345C5"/>
    <w:rsid w:val="003347C0"/>
    <w:rsid w:val="00334B6B"/>
    <w:rsid w:val="00334D20"/>
    <w:rsid w:val="00334E92"/>
    <w:rsid w:val="00335960"/>
    <w:rsid w:val="00335A1A"/>
    <w:rsid w:val="00335AC4"/>
    <w:rsid w:val="00335CF0"/>
    <w:rsid w:val="00336244"/>
    <w:rsid w:val="003364D2"/>
    <w:rsid w:val="0033667E"/>
    <w:rsid w:val="003369C7"/>
    <w:rsid w:val="00336A99"/>
    <w:rsid w:val="00336CF0"/>
    <w:rsid w:val="00336E97"/>
    <w:rsid w:val="00336F3D"/>
    <w:rsid w:val="00337953"/>
    <w:rsid w:val="00337F3D"/>
    <w:rsid w:val="0034002C"/>
    <w:rsid w:val="0034016A"/>
    <w:rsid w:val="003404BE"/>
    <w:rsid w:val="00340766"/>
    <w:rsid w:val="003407E1"/>
    <w:rsid w:val="003408A6"/>
    <w:rsid w:val="003409DE"/>
    <w:rsid w:val="00340ACA"/>
    <w:rsid w:val="003411D5"/>
    <w:rsid w:val="003413EF"/>
    <w:rsid w:val="00341501"/>
    <w:rsid w:val="0034165E"/>
    <w:rsid w:val="00341E98"/>
    <w:rsid w:val="00341EAC"/>
    <w:rsid w:val="0034209A"/>
    <w:rsid w:val="003420F9"/>
    <w:rsid w:val="003423D6"/>
    <w:rsid w:val="003429BE"/>
    <w:rsid w:val="00342D81"/>
    <w:rsid w:val="00342E49"/>
    <w:rsid w:val="003436D4"/>
    <w:rsid w:val="00343C3D"/>
    <w:rsid w:val="00343DDC"/>
    <w:rsid w:val="003441A5"/>
    <w:rsid w:val="003445C9"/>
    <w:rsid w:val="00344AE5"/>
    <w:rsid w:val="00344B76"/>
    <w:rsid w:val="00344F96"/>
    <w:rsid w:val="00345823"/>
    <w:rsid w:val="00345A20"/>
    <w:rsid w:val="00345CB5"/>
    <w:rsid w:val="00345CD4"/>
    <w:rsid w:val="00345DCB"/>
    <w:rsid w:val="00346542"/>
    <w:rsid w:val="00346A65"/>
    <w:rsid w:val="00346E79"/>
    <w:rsid w:val="003476AD"/>
    <w:rsid w:val="00347B2E"/>
    <w:rsid w:val="00347CC2"/>
    <w:rsid w:val="0035060F"/>
    <w:rsid w:val="00350692"/>
    <w:rsid w:val="00350AA4"/>
    <w:rsid w:val="00351386"/>
    <w:rsid w:val="00351500"/>
    <w:rsid w:val="0035195A"/>
    <w:rsid w:val="00351CD7"/>
    <w:rsid w:val="0035221C"/>
    <w:rsid w:val="00352493"/>
    <w:rsid w:val="0035252B"/>
    <w:rsid w:val="00352CB1"/>
    <w:rsid w:val="0035315E"/>
    <w:rsid w:val="00353374"/>
    <w:rsid w:val="0035345C"/>
    <w:rsid w:val="00353F84"/>
    <w:rsid w:val="003542AD"/>
    <w:rsid w:val="003547FC"/>
    <w:rsid w:val="00354B1B"/>
    <w:rsid w:val="00354FFB"/>
    <w:rsid w:val="00355824"/>
    <w:rsid w:val="0035585F"/>
    <w:rsid w:val="003558BF"/>
    <w:rsid w:val="00355929"/>
    <w:rsid w:val="00355CB6"/>
    <w:rsid w:val="003560F9"/>
    <w:rsid w:val="003561B2"/>
    <w:rsid w:val="00356230"/>
    <w:rsid w:val="0035647F"/>
    <w:rsid w:val="0035649E"/>
    <w:rsid w:val="003568C2"/>
    <w:rsid w:val="00356937"/>
    <w:rsid w:val="003569DD"/>
    <w:rsid w:val="00356C31"/>
    <w:rsid w:val="00356EFC"/>
    <w:rsid w:val="0035725C"/>
    <w:rsid w:val="00357383"/>
    <w:rsid w:val="003573E4"/>
    <w:rsid w:val="00357882"/>
    <w:rsid w:val="00357A61"/>
    <w:rsid w:val="00357DD8"/>
    <w:rsid w:val="0036043F"/>
    <w:rsid w:val="00360899"/>
    <w:rsid w:val="0036102D"/>
    <w:rsid w:val="00361105"/>
    <w:rsid w:val="00361242"/>
    <w:rsid w:val="0036131A"/>
    <w:rsid w:val="0036176E"/>
    <w:rsid w:val="0036191E"/>
    <w:rsid w:val="00361952"/>
    <w:rsid w:val="00361A34"/>
    <w:rsid w:val="00362025"/>
    <w:rsid w:val="00362238"/>
    <w:rsid w:val="00362387"/>
    <w:rsid w:val="00362540"/>
    <w:rsid w:val="0036307F"/>
    <w:rsid w:val="003630CF"/>
    <w:rsid w:val="00363A32"/>
    <w:rsid w:val="00363A99"/>
    <w:rsid w:val="0036412F"/>
    <w:rsid w:val="00364348"/>
    <w:rsid w:val="0036479F"/>
    <w:rsid w:val="0036496F"/>
    <w:rsid w:val="00365640"/>
    <w:rsid w:val="00365652"/>
    <w:rsid w:val="003659E4"/>
    <w:rsid w:val="00365C27"/>
    <w:rsid w:val="00365F58"/>
    <w:rsid w:val="00366186"/>
    <w:rsid w:val="0036621F"/>
    <w:rsid w:val="0036643D"/>
    <w:rsid w:val="003664A0"/>
    <w:rsid w:val="00366CB4"/>
    <w:rsid w:val="00367435"/>
    <w:rsid w:val="0036746C"/>
    <w:rsid w:val="00367470"/>
    <w:rsid w:val="00367512"/>
    <w:rsid w:val="00370115"/>
    <w:rsid w:val="00370486"/>
    <w:rsid w:val="00370799"/>
    <w:rsid w:val="00370965"/>
    <w:rsid w:val="00370E25"/>
    <w:rsid w:val="00370F89"/>
    <w:rsid w:val="0037105C"/>
    <w:rsid w:val="003712BF"/>
    <w:rsid w:val="00371448"/>
    <w:rsid w:val="0037173F"/>
    <w:rsid w:val="003718B8"/>
    <w:rsid w:val="00371959"/>
    <w:rsid w:val="00371A16"/>
    <w:rsid w:val="00371EFD"/>
    <w:rsid w:val="0037230C"/>
    <w:rsid w:val="003726D6"/>
    <w:rsid w:val="00372783"/>
    <w:rsid w:val="0037296F"/>
    <w:rsid w:val="00372C79"/>
    <w:rsid w:val="00372F8B"/>
    <w:rsid w:val="003730B8"/>
    <w:rsid w:val="0037317A"/>
    <w:rsid w:val="00373334"/>
    <w:rsid w:val="00373E61"/>
    <w:rsid w:val="00374154"/>
    <w:rsid w:val="00374826"/>
    <w:rsid w:val="0037485F"/>
    <w:rsid w:val="0037487E"/>
    <w:rsid w:val="003748B3"/>
    <w:rsid w:val="003748F9"/>
    <w:rsid w:val="0037515B"/>
    <w:rsid w:val="0037558F"/>
    <w:rsid w:val="003758E3"/>
    <w:rsid w:val="003759C5"/>
    <w:rsid w:val="00376316"/>
    <w:rsid w:val="0037637C"/>
    <w:rsid w:val="00376465"/>
    <w:rsid w:val="00376876"/>
    <w:rsid w:val="00376A75"/>
    <w:rsid w:val="003772C2"/>
    <w:rsid w:val="0037776B"/>
    <w:rsid w:val="003778F0"/>
    <w:rsid w:val="003778FE"/>
    <w:rsid w:val="00377B9E"/>
    <w:rsid w:val="00380016"/>
    <w:rsid w:val="00380027"/>
    <w:rsid w:val="00380060"/>
    <w:rsid w:val="003803D5"/>
    <w:rsid w:val="00380BA5"/>
    <w:rsid w:val="00380E26"/>
    <w:rsid w:val="00380F10"/>
    <w:rsid w:val="00381028"/>
    <w:rsid w:val="0038102B"/>
    <w:rsid w:val="003816A5"/>
    <w:rsid w:val="00381851"/>
    <w:rsid w:val="00381E81"/>
    <w:rsid w:val="00381F00"/>
    <w:rsid w:val="00382107"/>
    <w:rsid w:val="003823CB"/>
    <w:rsid w:val="00382CC4"/>
    <w:rsid w:val="003835B4"/>
    <w:rsid w:val="003835CB"/>
    <w:rsid w:val="00383883"/>
    <w:rsid w:val="00383B66"/>
    <w:rsid w:val="00383CA2"/>
    <w:rsid w:val="003844F8"/>
    <w:rsid w:val="00384822"/>
    <w:rsid w:val="00384A5D"/>
    <w:rsid w:val="00384A86"/>
    <w:rsid w:val="00384F9E"/>
    <w:rsid w:val="00384FF9"/>
    <w:rsid w:val="00385038"/>
    <w:rsid w:val="00385200"/>
    <w:rsid w:val="00385642"/>
    <w:rsid w:val="003857C6"/>
    <w:rsid w:val="00385A84"/>
    <w:rsid w:val="00385B67"/>
    <w:rsid w:val="00386607"/>
    <w:rsid w:val="0038692B"/>
    <w:rsid w:val="0038692F"/>
    <w:rsid w:val="0038693E"/>
    <w:rsid w:val="00386944"/>
    <w:rsid w:val="00386A48"/>
    <w:rsid w:val="00386FC3"/>
    <w:rsid w:val="00387126"/>
    <w:rsid w:val="003872B5"/>
    <w:rsid w:val="00387814"/>
    <w:rsid w:val="00387ABA"/>
    <w:rsid w:val="00387C86"/>
    <w:rsid w:val="00387C93"/>
    <w:rsid w:val="00387FAA"/>
    <w:rsid w:val="00390150"/>
    <w:rsid w:val="00390596"/>
    <w:rsid w:val="00390631"/>
    <w:rsid w:val="00390777"/>
    <w:rsid w:val="00390884"/>
    <w:rsid w:val="00390BC4"/>
    <w:rsid w:val="00390C8F"/>
    <w:rsid w:val="00390F93"/>
    <w:rsid w:val="003913D1"/>
    <w:rsid w:val="0039189E"/>
    <w:rsid w:val="00391D10"/>
    <w:rsid w:val="00392321"/>
    <w:rsid w:val="003923D6"/>
    <w:rsid w:val="00392932"/>
    <w:rsid w:val="00392FAE"/>
    <w:rsid w:val="003934C5"/>
    <w:rsid w:val="003934DA"/>
    <w:rsid w:val="003937E7"/>
    <w:rsid w:val="00393B39"/>
    <w:rsid w:val="00393D55"/>
    <w:rsid w:val="00394129"/>
    <w:rsid w:val="003943C9"/>
    <w:rsid w:val="003946ED"/>
    <w:rsid w:val="00394F32"/>
    <w:rsid w:val="0039514D"/>
    <w:rsid w:val="00395234"/>
    <w:rsid w:val="00395563"/>
    <w:rsid w:val="003958E0"/>
    <w:rsid w:val="00395D3C"/>
    <w:rsid w:val="00395D62"/>
    <w:rsid w:val="00395E37"/>
    <w:rsid w:val="003961EC"/>
    <w:rsid w:val="00396B38"/>
    <w:rsid w:val="00396B8A"/>
    <w:rsid w:val="00396EE6"/>
    <w:rsid w:val="00396FE9"/>
    <w:rsid w:val="00397023"/>
    <w:rsid w:val="003973A6"/>
    <w:rsid w:val="003973AD"/>
    <w:rsid w:val="0039742A"/>
    <w:rsid w:val="00397625"/>
    <w:rsid w:val="0039778B"/>
    <w:rsid w:val="00397827"/>
    <w:rsid w:val="00397BA7"/>
    <w:rsid w:val="003A020C"/>
    <w:rsid w:val="003A07CC"/>
    <w:rsid w:val="003A089A"/>
    <w:rsid w:val="003A0965"/>
    <w:rsid w:val="003A0E91"/>
    <w:rsid w:val="003A1013"/>
    <w:rsid w:val="003A1388"/>
    <w:rsid w:val="003A19C8"/>
    <w:rsid w:val="003A1BFE"/>
    <w:rsid w:val="003A1E4C"/>
    <w:rsid w:val="003A2825"/>
    <w:rsid w:val="003A2A54"/>
    <w:rsid w:val="003A36D8"/>
    <w:rsid w:val="003A37B0"/>
    <w:rsid w:val="003A3923"/>
    <w:rsid w:val="003A398A"/>
    <w:rsid w:val="003A3A99"/>
    <w:rsid w:val="003A3B2D"/>
    <w:rsid w:val="003A3F5B"/>
    <w:rsid w:val="003A4171"/>
    <w:rsid w:val="003A4731"/>
    <w:rsid w:val="003A53EB"/>
    <w:rsid w:val="003A5670"/>
    <w:rsid w:val="003A574F"/>
    <w:rsid w:val="003A5894"/>
    <w:rsid w:val="003A5CEF"/>
    <w:rsid w:val="003A5CFC"/>
    <w:rsid w:val="003A5F62"/>
    <w:rsid w:val="003A61A5"/>
    <w:rsid w:val="003A62FC"/>
    <w:rsid w:val="003A630B"/>
    <w:rsid w:val="003A6DBC"/>
    <w:rsid w:val="003A6E27"/>
    <w:rsid w:val="003A6EFB"/>
    <w:rsid w:val="003A7085"/>
    <w:rsid w:val="003A723D"/>
    <w:rsid w:val="003A7478"/>
    <w:rsid w:val="003A7B9A"/>
    <w:rsid w:val="003A7EC4"/>
    <w:rsid w:val="003A7FB7"/>
    <w:rsid w:val="003B003B"/>
    <w:rsid w:val="003B017F"/>
    <w:rsid w:val="003B02E4"/>
    <w:rsid w:val="003B09D1"/>
    <w:rsid w:val="003B0ACD"/>
    <w:rsid w:val="003B0BD7"/>
    <w:rsid w:val="003B0E4B"/>
    <w:rsid w:val="003B1276"/>
    <w:rsid w:val="003B1543"/>
    <w:rsid w:val="003B1F33"/>
    <w:rsid w:val="003B24AF"/>
    <w:rsid w:val="003B2761"/>
    <w:rsid w:val="003B2869"/>
    <w:rsid w:val="003B2970"/>
    <w:rsid w:val="003B341F"/>
    <w:rsid w:val="003B38E9"/>
    <w:rsid w:val="003B39C3"/>
    <w:rsid w:val="003B3A42"/>
    <w:rsid w:val="003B3AD2"/>
    <w:rsid w:val="003B3BFF"/>
    <w:rsid w:val="003B3F5E"/>
    <w:rsid w:val="003B418C"/>
    <w:rsid w:val="003B430E"/>
    <w:rsid w:val="003B47C2"/>
    <w:rsid w:val="003B4BED"/>
    <w:rsid w:val="003B517B"/>
    <w:rsid w:val="003B599C"/>
    <w:rsid w:val="003B5F57"/>
    <w:rsid w:val="003B6123"/>
    <w:rsid w:val="003B61FC"/>
    <w:rsid w:val="003B69B0"/>
    <w:rsid w:val="003B73E7"/>
    <w:rsid w:val="003B74FE"/>
    <w:rsid w:val="003B76EE"/>
    <w:rsid w:val="003B79D2"/>
    <w:rsid w:val="003B79D8"/>
    <w:rsid w:val="003B7DCF"/>
    <w:rsid w:val="003C056C"/>
    <w:rsid w:val="003C062B"/>
    <w:rsid w:val="003C0B1C"/>
    <w:rsid w:val="003C0D6F"/>
    <w:rsid w:val="003C0D96"/>
    <w:rsid w:val="003C11D3"/>
    <w:rsid w:val="003C127F"/>
    <w:rsid w:val="003C16E5"/>
    <w:rsid w:val="003C17D8"/>
    <w:rsid w:val="003C18C4"/>
    <w:rsid w:val="003C1D97"/>
    <w:rsid w:val="003C2004"/>
    <w:rsid w:val="003C223D"/>
    <w:rsid w:val="003C22AF"/>
    <w:rsid w:val="003C2942"/>
    <w:rsid w:val="003C2A7A"/>
    <w:rsid w:val="003C2EA2"/>
    <w:rsid w:val="003C2F31"/>
    <w:rsid w:val="003C30CF"/>
    <w:rsid w:val="003C36AE"/>
    <w:rsid w:val="003C3C62"/>
    <w:rsid w:val="003C4117"/>
    <w:rsid w:val="003C470E"/>
    <w:rsid w:val="003C476C"/>
    <w:rsid w:val="003C4D0A"/>
    <w:rsid w:val="003C518D"/>
    <w:rsid w:val="003C5C63"/>
    <w:rsid w:val="003C6029"/>
    <w:rsid w:val="003C6167"/>
    <w:rsid w:val="003C6462"/>
    <w:rsid w:val="003C65DB"/>
    <w:rsid w:val="003C6690"/>
    <w:rsid w:val="003C6A09"/>
    <w:rsid w:val="003C6DAB"/>
    <w:rsid w:val="003C743B"/>
    <w:rsid w:val="003C77A7"/>
    <w:rsid w:val="003C7D94"/>
    <w:rsid w:val="003C7E7C"/>
    <w:rsid w:val="003C7F17"/>
    <w:rsid w:val="003C7FCD"/>
    <w:rsid w:val="003D0196"/>
    <w:rsid w:val="003D0362"/>
    <w:rsid w:val="003D07D2"/>
    <w:rsid w:val="003D0D1C"/>
    <w:rsid w:val="003D0EFC"/>
    <w:rsid w:val="003D10F5"/>
    <w:rsid w:val="003D17D7"/>
    <w:rsid w:val="003D1A40"/>
    <w:rsid w:val="003D2093"/>
    <w:rsid w:val="003D25B2"/>
    <w:rsid w:val="003D2795"/>
    <w:rsid w:val="003D29BA"/>
    <w:rsid w:val="003D312D"/>
    <w:rsid w:val="003D3350"/>
    <w:rsid w:val="003D338C"/>
    <w:rsid w:val="003D39BE"/>
    <w:rsid w:val="003D4281"/>
    <w:rsid w:val="003D4592"/>
    <w:rsid w:val="003D4635"/>
    <w:rsid w:val="003D4D73"/>
    <w:rsid w:val="003D4DA2"/>
    <w:rsid w:val="003D5567"/>
    <w:rsid w:val="003D5AC7"/>
    <w:rsid w:val="003D5E42"/>
    <w:rsid w:val="003D5E81"/>
    <w:rsid w:val="003D5F03"/>
    <w:rsid w:val="003D60FC"/>
    <w:rsid w:val="003D66BF"/>
    <w:rsid w:val="003D68D6"/>
    <w:rsid w:val="003D69F8"/>
    <w:rsid w:val="003D7437"/>
    <w:rsid w:val="003D7698"/>
    <w:rsid w:val="003D77A9"/>
    <w:rsid w:val="003E0566"/>
    <w:rsid w:val="003E05D0"/>
    <w:rsid w:val="003E0972"/>
    <w:rsid w:val="003E09B6"/>
    <w:rsid w:val="003E0B15"/>
    <w:rsid w:val="003E0C7F"/>
    <w:rsid w:val="003E16D5"/>
    <w:rsid w:val="003E1909"/>
    <w:rsid w:val="003E1A95"/>
    <w:rsid w:val="003E1E21"/>
    <w:rsid w:val="003E2088"/>
    <w:rsid w:val="003E21C9"/>
    <w:rsid w:val="003E2383"/>
    <w:rsid w:val="003E2845"/>
    <w:rsid w:val="003E285B"/>
    <w:rsid w:val="003E31F3"/>
    <w:rsid w:val="003E38DA"/>
    <w:rsid w:val="003E394A"/>
    <w:rsid w:val="003E3CA7"/>
    <w:rsid w:val="003E3D9B"/>
    <w:rsid w:val="003E3EA7"/>
    <w:rsid w:val="003E3FAB"/>
    <w:rsid w:val="003E3FDC"/>
    <w:rsid w:val="003E40AF"/>
    <w:rsid w:val="003E459B"/>
    <w:rsid w:val="003E45A3"/>
    <w:rsid w:val="003E5160"/>
    <w:rsid w:val="003E5318"/>
    <w:rsid w:val="003E57D8"/>
    <w:rsid w:val="003E59EC"/>
    <w:rsid w:val="003E5B58"/>
    <w:rsid w:val="003E5FE8"/>
    <w:rsid w:val="003E6312"/>
    <w:rsid w:val="003E670E"/>
    <w:rsid w:val="003E6A72"/>
    <w:rsid w:val="003E6CF2"/>
    <w:rsid w:val="003E71B1"/>
    <w:rsid w:val="003E79EC"/>
    <w:rsid w:val="003E7ED7"/>
    <w:rsid w:val="003E7F95"/>
    <w:rsid w:val="003F0357"/>
    <w:rsid w:val="003F043E"/>
    <w:rsid w:val="003F0653"/>
    <w:rsid w:val="003F094C"/>
    <w:rsid w:val="003F0C38"/>
    <w:rsid w:val="003F0FD4"/>
    <w:rsid w:val="003F1049"/>
    <w:rsid w:val="003F117A"/>
    <w:rsid w:val="003F1321"/>
    <w:rsid w:val="003F13D3"/>
    <w:rsid w:val="003F178D"/>
    <w:rsid w:val="003F18A2"/>
    <w:rsid w:val="003F1B6A"/>
    <w:rsid w:val="003F1D5A"/>
    <w:rsid w:val="003F1EAA"/>
    <w:rsid w:val="003F1F17"/>
    <w:rsid w:val="003F1F57"/>
    <w:rsid w:val="003F2676"/>
    <w:rsid w:val="003F2D4B"/>
    <w:rsid w:val="003F31C5"/>
    <w:rsid w:val="003F354C"/>
    <w:rsid w:val="003F3617"/>
    <w:rsid w:val="003F3BB5"/>
    <w:rsid w:val="003F4102"/>
    <w:rsid w:val="003F4E0E"/>
    <w:rsid w:val="003F4E1B"/>
    <w:rsid w:val="003F4F1A"/>
    <w:rsid w:val="003F52E1"/>
    <w:rsid w:val="003F5356"/>
    <w:rsid w:val="003F5365"/>
    <w:rsid w:val="003F53B5"/>
    <w:rsid w:val="003F5478"/>
    <w:rsid w:val="003F5C5D"/>
    <w:rsid w:val="003F6001"/>
    <w:rsid w:val="003F6336"/>
    <w:rsid w:val="003F6723"/>
    <w:rsid w:val="003F6816"/>
    <w:rsid w:val="003F6BBC"/>
    <w:rsid w:val="003F6BF5"/>
    <w:rsid w:val="003F7189"/>
    <w:rsid w:val="003F72CE"/>
    <w:rsid w:val="003F7B6B"/>
    <w:rsid w:val="003F7C4B"/>
    <w:rsid w:val="003F7E14"/>
    <w:rsid w:val="003F7F1D"/>
    <w:rsid w:val="003F7F4A"/>
    <w:rsid w:val="00400287"/>
    <w:rsid w:val="004005A0"/>
    <w:rsid w:val="0040096F"/>
    <w:rsid w:val="00400A1B"/>
    <w:rsid w:val="00400E2B"/>
    <w:rsid w:val="0040107D"/>
    <w:rsid w:val="004010BC"/>
    <w:rsid w:val="004010DD"/>
    <w:rsid w:val="0040113D"/>
    <w:rsid w:val="00401194"/>
    <w:rsid w:val="004011B9"/>
    <w:rsid w:val="00401703"/>
    <w:rsid w:val="004018DF"/>
    <w:rsid w:val="004018EB"/>
    <w:rsid w:val="00401D53"/>
    <w:rsid w:val="00403708"/>
    <w:rsid w:val="00403D25"/>
    <w:rsid w:val="00403ECB"/>
    <w:rsid w:val="0040412D"/>
    <w:rsid w:val="004047A1"/>
    <w:rsid w:val="00404C69"/>
    <w:rsid w:val="00404DD5"/>
    <w:rsid w:val="00404FF9"/>
    <w:rsid w:val="004054A6"/>
    <w:rsid w:val="00405A4F"/>
    <w:rsid w:val="00405CE1"/>
    <w:rsid w:val="0040603F"/>
    <w:rsid w:val="004060B0"/>
    <w:rsid w:val="00406137"/>
    <w:rsid w:val="00406170"/>
    <w:rsid w:val="004063FA"/>
    <w:rsid w:val="0040670E"/>
    <w:rsid w:val="00406B32"/>
    <w:rsid w:val="00406B46"/>
    <w:rsid w:val="00406CD6"/>
    <w:rsid w:val="00406F25"/>
    <w:rsid w:val="004071B6"/>
    <w:rsid w:val="0040766D"/>
    <w:rsid w:val="00407762"/>
    <w:rsid w:val="00407B42"/>
    <w:rsid w:val="004105AE"/>
    <w:rsid w:val="00410778"/>
    <w:rsid w:val="00410CE7"/>
    <w:rsid w:val="00410FF0"/>
    <w:rsid w:val="004113F3"/>
    <w:rsid w:val="004116BE"/>
    <w:rsid w:val="004117C4"/>
    <w:rsid w:val="00411BF1"/>
    <w:rsid w:val="0041214A"/>
    <w:rsid w:val="004121F6"/>
    <w:rsid w:val="0041292A"/>
    <w:rsid w:val="00412F40"/>
    <w:rsid w:val="0041365B"/>
    <w:rsid w:val="004137B8"/>
    <w:rsid w:val="00413F07"/>
    <w:rsid w:val="004142AA"/>
    <w:rsid w:val="00414310"/>
    <w:rsid w:val="004145DC"/>
    <w:rsid w:val="004147D1"/>
    <w:rsid w:val="00414908"/>
    <w:rsid w:val="00414ACA"/>
    <w:rsid w:val="00414B3E"/>
    <w:rsid w:val="00414B9B"/>
    <w:rsid w:val="00414DB2"/>
    <w:rsid w:val="00415426"/>
    <w:rsid w:val="00415470"/>
    <w:rsid w:val="00415493"/>
    <w:rsid w:val="004155CE"/>
    <w:rsid w:val="004156EC"/>
    <w:rsid w:val="0041581C"/>
    <w:rsid w:val="00415A1E"/>
    <w:rsid w:val="00415AA2"/>
    <w:rsid w:val="00415CC6"/>
    <w:rsid w:val="00415F00"/>
    <w:rsid w:val="004162DD"/>
    <w:rsid w:val="00416372"/>
    <w:rsid w:val="004163EC"/>
    <w:rsid w:val="004164B6"/>
    <w:rsid w:val="00416825"/>
    <w:rsid w:val="00416AF0"/>
    <w:rsid w:val="00417189"/>
    <w:rsid w:val="004171AC"/>
    <w:rsid w:val="00417356"/>
    <w:rsid w:val="004173D1"/>
    <w:rsid w:val="0041740F"/>
    <w:rsid w:val="00417837"/>
    <w:rsid w:val="00417AD2"/>
    <w:rsid w:val="00417C43"/>
    <w:rsid w:val="00417FAE"/>
    <w:rsid w:val="004203BD"/>
    <w:rsid w:val="00420478"/>
    <w:rsid w:val="00420799"/>
    <w:rsid w:val="0042083A"/>
    <w:rsid w:val="00420D84"/>
    <w:rsid w:val="0042117D"/>
    <w:rsid w:val="00421802"/>
    <w:rsid w:val="00421B0C"/>
    <w:rsid w:val="00421C11"/>
    <w:rsid w:val="00422018"/>
    <w:rsid w:val="0042238A"/>
    <w:rsid w:val="0042269A"/>
    <w:rsid w:val="004228E4"/>
    <w:rsid w:val="00422BFA"/>
    <w:rsid w:val="00423218"/>
    <w:rsid w:val="004233F7"/>
    <w:rsid w:val="00423623"/>
    <w:rsid w:val="004238A7"/>
    <w:rsid w:val="00423973"/>
    <w:rsid w:val="00424228"/>
    <w:rsid w:val="00424779"/>
    <w:rsid w:val="00424798"/>
    <w:rsid w:val="0042493D"/>
    <w:rsid w:val="00424A7B"/>
    <w:rsid w:val="00424DFB"/>
    <w:rsid w:val="00424E69"/>
    <w:rsid w:val="00425036"/>
    <w:rsid w:val="0042533D"/>
    <w:rsid w:val="004254BC"/>
    <w:rsid w:val="004254CA"/>
    <w:rsid w:val="00425507"/>
    <w:rsid w:val="004258E1"/>
    <w:rsid w:val="00425CBE"/>
    <w:rsid w:val="00425E67"/>
    <w:rsid w:val="004263FD"/>
    <w:rsid w:val="00426A67"/>
    <w:rsid w:val="00426DA8"/>
    <w:rsid w:val="00426DC0"/>
    <w:rsid w:val="0042704F"/>
    <w:rsid w:val="00427150"/>
    <w:rsid w:val="0042783B"/>
    <w:rsid w:val="0042785B"/>
    <w:rsid w:val="00427C92"/>
    <w:rsid w:val="004300E3"/>
    <w:rsid w:val="00430513"/>
    <w:rsid w:val="00430E65"/>
    <w:rsid w:val="00430EE5"/>
    <w:rsid w:val="00430F21"/>
    <w:rsid w:val="004316D6"/>
    <w:rsid w:val="00431BAE"/>
    <w:rsid w:val="00431F79"/>
    <w:rsid w:val="00432112"/>
    <w:rsid w:val="00432134"/>
    <w:rsid w:val="004321BD"/>
    <w:rsid w:val="00432296"/>
    <w:rsid w:val="00432365"/>
    <w:rsid w:val="0043276F"/>
    <w:rsid w:val="00432F70"/>
    <w:rsid w:val="004332A3"/>
    <w:rsid w:val="00433553"/>
    <w:rsid w:val="0043370F"/>
    <w:rsid w:val="0043376A"/>
    <w:rsid w:val="00433844"/>
    <w:rsid w:val="004338B4"/>
    <w:rsid w:val="00433AE8"/>
    <w:rsid w:val="00433D12"/>
    <w:rsid w:val="00433E66"/>
    <w:rsid w:val="00433EE3"/>
    <w:rsid w:val="00433F4A"/>
    <w:rsid w:val="004347B1"/>
    <w:rsid w:val="00434932"/>
    <w:rsid w:val="00434B7B"/>
    <w:rsid w:val="00434FF2"/>
    <w:rsid w:val="00435717"/>
    <w:rsid w:val="00435984"/>
    <w:rsid w:val="00435D01"/>
    <w:rsid w:val="00436096"/>
    <w:rsid w:val="004361DE"/>
    <w:rsid w:val="00436428"/>
    <w:rsid w:val="00436638"/>
    <w:rsid w:val="004366FE"/>
    <w:rsid w:val="004368C3"/>
    <w:rsid w:val="00436BA8"/>
    <w:rsid w:val="00436FA4"/>
    <w:rsid w:val="0043716F"/>
    <w:rsid w:val="004374F9"/>
    <w:rsid w:val="004375D9"/>
    <w:rsid w:val="00437787"/>
    <w:rsid w:val="00437874"/>
    <w:rsid w:val="00437B11"/>
    <w:rsid w:val="00437BC3"/>
    <w:rsid w:val="00437C04"/>
    <w:rsid w:val="0044022C"/>
    <w:rsid w:val="00440A45"/>
    <w:rsid w:val="00440BF0"/>
    <w:rsid w:val="00440F7A"/>
    <w:rsid w:val="0044130B"/>
    <w:rsid w:val="00441540"/>
    <w:rsid w:val="00441BA6"/>
    <w:rsid w:val="00442251"/>
    <w:rsid w:val="004429B5"/>
    <w:rsid w:val="00442AA7"/>
    <w:rsid w:val="00442C53"/>
    <w:rsid w:val="00443214"/>
    <w:rsid w:val="00443272"/>
    <w:rsid w:val="00443C5D"/>
    <w:rsid w:val="00443CA2"/>
    <w:rsid w:val="00443CB4"/>
    <w:rsid w:val="0044434F"/>
    <w:rsid w:val="004443A5"/>
    <w:rsid w:val="00444AC1"/>
    <w:rsid w:val="00444EB2"/>
    <w:rsid w:val="00444F55"/>
    <w:rsid w:val="0044528E"/>
    <w:rsid w:val="004452BE"/>
    <w:rsid w:val="00445B16"/>
    <w:rsid w:val="00445B63"/>
    <w:rsid w:val="00445CC8"/>
    <w:rsid w:val="00445D00"/>
    <w:rsid w:val="0044665B"/>
    <w:rsid w:val="004467E3"/>
    <w:rsid w:val="00446A2C"/>
    <w:rsid w:val="004472CC"/>
    <w:rsid w:val="0044749C"/>
    <w:rsid w:val="004475C8"/>
    <w:rsid w:val="004475D7"/>
    <w:rsid w:val="00447D0C"/>
    <w:rsid w:val="00447D8E"/>
    <w:rsid w:val="00447EEE"/>
    <w:rsid w:val="00450286"/>
    <w:rsid w:val="0045030C"/>
    <w:rsid w:val="00450495"/>
    <w:rsid w:val="004505FB"/>
    <w:rsid w:val="00450A75"/>
    <w:rsid w:val="00450CB5"/>
    <w:rsid w:val="00450E4D"/>
    <w:rsid w:val="0045157D"/>
    <w:rsid w:val="00451AA8"/>
    <w:rsid w:val="00451DFE"/>
    <w:rsid w:val="00451E58"/>
    <w:rsid w:val="0045200C"/>
    <w:rsid w:val="0045211B"/>
    <w:rsid w:val="00452605"/>
    <w:rsid w:val="00452699"/>
    <w:rsid w:val="00452A9B"/>
    <w:rsid w:val="00452AB4"/>
    <w:rsid w:val="00452AC6"/>
    <w:rsid w:val="00452E19"/>
    <w:rsid w:val="004530E1"/>
    <w:rsid w:val="00453266"/>
    <w:rsid w:val="0045337E"/>
    <w:rsid w:val="004538D6"/>
    <w:rsid w:val="00453B86"/>
    <w:rsid w:val="00453C06"/>
    <w:rsid w:val="00453C0E"/>
    <w:rsid w:val="00453C7C"/>
    <w:rsid w:val="00453F52"/>
    <w:rsid w:val="004544E9"/>
    <w:rsid w:val="0045458E"/>
    <w:rsid w:val="004549D9"/>
    <w:rsid w:val="00454A26"/>
    <w:rsid w:val="00454B98"/>
    <w:rsid w:val="004552CD"/>
    <w:rsid w:val="00455F00"/>
    <w:rsid w:val="00455F42"/>
    <w:rsid w:val="0045642D"/>
    <w:rsid w:val="00456581"/>
    <w:rsid w:val="004567B0"/>
    <w:rsid w:val="00456DC8"/>
    <w:rsid w:val="00456FD0"/>
    <w:rsid w:val="00456FDA"/>
    <w:rsid w:val="004572A3"/>
    <w:rsid w:val="004574E5"/>
    <w:rsid w:val="00457B9F"/>
    <w:rsid w:val="00457C2B"/>
    <w:rsid w:val="00457FC1"/>
    <w:rsid w:val="0046007D"/>
    <w:rsid w:val="004609B0"/>
    <w:rsid w:val="004609BD"/>
    <w:rsid w:val="00460AEA"/>
    <w:rsid w:val="00460DF8"/>
    <w:rsid w:val="004616E0"/>
    <w:rsid w:val="00461842"/>
    <w:rsid w:val="00461B9D"/>
    <w:rsid w:val="00462497"/>
    <w:rsid w:val="0046291B"/>
    <w:rsid w:val="00462A3A"/>
    <w:rsid w:val="00462C33"/>
    <w:rsid w:val="00462EAF"/>
    <w:rsid w:val="00462F1A"/>
    <w:rsid w:val="00462F78"/>
    <w:rsid w:val="00463326"/>
    <w:rsid w:val="00463514"/>
    <w:rsid w:val="00463EBA"/>
    <w:rsid w:val="00464017"/>
    <w:rsid w:val="00464370"/>
    <w:rsid w:val="004643B5"/>
    <w:rsid w:val="004645AF"/>
    <w:rsid w:val="0046476F"/>
    <w:rsid w:val="0046480D"/>
    <w:rsid w:val="00464A97"/>
    <w:rsid w:val="0046511B"/>
    <w:rsid w:val="0046549F"/>
    <w:rsid w:val="004657DE"/>
    <w:rsid w:val="00465F04"/>
    <w:rsid w:val="00466041"/>
    <w:rsid w:val="004668D0"/>
    <w:rsid w:val="004674E7"/>
    <w:rsid w:val="0046756C"/>
    <w:rsid w:val="0046776F"/>
    <w:rsid w:val="004706A0"/>
    <w:rsid w:val="00470A0A"/>
    <w:rsid w:val="00470C4B"/>
    <w:rsid w:val="00470CBC"/>
    <w:rsid w:val="00470D75"/>
    <w:rsid w:val="00470DCA"/>
    <w:rsid w:val="00470E94"/>
    <w:rsid w:val="00470EDB"/>
    <w:rsid w:val="00471198"/>
    <w:rsid w:val="0047143C"/>
    <w:rsid w:val="0047174B"/>
    <w:rsid w:val="0047195B"/>
    <w:rsid w:val="004719AC"/>
    <w:rsid w:val="004728D2"/>
    <w:rsid w:val="00472B69"/>
    <w:rsid w:val="00472BEC"/>
    <w:rsid w:val="00472C91"/>
    <w:rsid w:val="00472DF3"/>
    <w:rsid w:val="00472EA4"/>
    <w:rsid w:val="0047303F"/>
    <w:rsid w:val="004731BA"/>
    <w:rsid w:val="00473377"/>
    <w:rsid w:val="004735E4"/>
    <w:rsid w:val="00473DEE"/>
    <w:rsid w:val="00473E8A"/>
    <w:rsid w:val="004744BA"/>
    <w:rsid w:val="00474926"/>
    <w:rsid w:val="00474E34"/>
    <w:rsid w:val="004753D7"/>
    <w:rsid w:val="0047561C"/>
    <w:rsid w:val="004758C5"/>
    <w:rsid w:val="0047604B"/>
    <w:rsid w:val="004760D8"/>
    <w:rsid w:val="0047622B"/>
    <w:rsid w:val="004763EA"/>
    <w:rsid w:val="004767A0"/>
    <w:rsid w:val="004768C5"/>
    <w:rsid w:val="00476A83"/>
    <w:rsid w:val="00476D32"/>
    <w:rsid w:val="0047720B"/>
    <w:rsid w:val="00477410"/>
    <w:rsid w:val="00477467"/>
    <w:rsid w:val="0047752B"/>
    <w:rsid w:val="00477832"/>
    <w:rsid w:val="00477B51"/>
    <w:rsid w:val="00477BC2"/>
    <w:rsid w:val="00477D3F"/>
    <w:rsid w:val="00477E01"/>
    <w:rsid w:val="00477E55"/>
    <w:rsid w:val="00477F0E"/>
    <w:rsid w:val="00480008"/>
    <w:rsid w:val="004801D8"/>
    <w:rsid w:val="00480324"/>
    <w:rsid w:val="00481034"/>
    <w:rsid w:val="00481363"/>
    <w:rsid w:val="004813D9"/>
    <w:rsid w:val="0048195A"/>
    <w:rsid w:val="00481C93"/>
    <w:rsid w:val="00481D95"/>
    <w:rsid w:val="00482473"/>
    <w:rsid w:val="0048277F"/>
    <w:rsid w:val="004827C3"/>
    <w:rsid w:val="004827D7"/>
    <w:rsid w:val="00482E19"/>
    <w:rsid w:val="00482F89"/>
    <w:rsid w:val="0048370E"/>
    <w:rsid w:val="00483AA6"/>
    <w:rsid w:val="00483D51"/>
    <w:rsid w:val="00484145"/>
    <w:rsid w:val="00484291"/>
    <w:rsid w:val="00484470"/>
    <w:rsid w:val="004844FF"/>
    <w:rsid w:val="00484873"/>
    <w:rsid w:val="00484C32"/>
    <w:rsid w:val="00484EDD"/>
    <w:rsid w:val="004851FD"/>
    <w:rsid w:val="00485862"/>
    <w:rsid w:val="004866C5"/>
    <w:rsid w:val="00486924"/>
    <w:rsid w:val="00486AE8"/>
    <w:rsid w:val="00486DAC"/>
    <w:rsid w:val="00487209"/>
    <w:rsid w:val="00487778"/>
    <w:rsid w:val="00487894"/>
    <w:rsid w:val="00487B01"/>
    <w:rsid w:val="00487F4A"/>
    <w:rsid w:val="0049053A"/>
    <w:rsid w:val="00490816"/>
    <w:rsid w:val="00490AFE"/>
    <w:rsid w:val="00490B69"/>
    <w:rsid w:val="00490C77"/>
    <w:rsid w:val="004913C6"/>
    <w:rsid w:val="004916F1"/>
    <w:rsid w:val="004918CF"/>
    <w:rsid w:val="004919D4"/>
    <w:rsid w:val="00491BC1"/>
    <w:rsid w:val="00492199"/>
    <w:rsid w:val="004922F5"/>
    <w:rsid w:val="004925B7"/>
    <w:rsid w:val="00492705"/>
    <w:rsid w:val="00492A21"/>
    <w:rsid w:val="00492D1E"/>
    <w:rsid w:val="00492D31"/>
    <w:rsid w:val="00492DE8"/>
    <w:rsid w:val="004931E2"/>
    <w:rsid w:val="004933C2"/>
    <w:rsid w:val="00493529"/>
    <w:rsid w:val="004938EF"/>
    <w:rsid w:val="00493913"/>
    <w:rsid w:val="0049398A"/>
    <w:rsid w:val="00493DCA"/>
    <w:rsid w:val="004946E2"/>
    <w:rsid w:val="004947AD"/>
    <w:rsid w:val="004947E0"/>
    <w:rsid w:val="00494DD1"/>
    <w:rsid w:val="00495132"/>
    <w:rsid w:val="004951C2"/>
    <w:rsid w:val="004958CD"/>
    <w:rsid w:val="00495965"/>
    <w:rsid w:val="004959D5"/>
    <w:rsid w:val="00496043"/>
    <w:rsid w:val="004971A9"/>
    <w:rsid w:val="0049729B"/>
    <w:rsid w:val="0049777C"/>
    <w:rsid w:val="004977EB"/>
    <w:rsid w:val="00497898"/>
    <w:rsid w:val="00497BCD"/>
    <w:rsid w:val="00497FBA"/>
    <w:rsid w:val="004A0154"/>
    <w:rsid w:val="004A073C"/>
    <w:rsid w:val="004A108D"/>
    <w:rsid w:val="004A15C9"/>
    <w:rsid w:val="004A178F"/>
    <w:rsid w:val="004A18F1"/>
    <w:rsid w:val="004A1EF9"/>
    <w:rsid w:val="004A1F3C"/>
    <w:rsid w:val="004A242E"/>
    <w:rsid w:val="004A2580"/>
    <w:rsid w:val="004A28C2"/>
    <w:rsid w:val="004A2D65"/>
    <w:rsid w:val="004A3428"/>
    <w:rsid w:val="004A3472"/>
    <w:rsid w:val="004A389E"/>
    <w:rsid w:val="004A3935"/>
    <w:rsid w:val="004A3D2E"/>
    <w:rsid w:val="004A3DA0"/>
    <w:rsid w:val="004A3FB5"/>
    <w:rsid w:val="004A43DA"/>
    <w:rsid w:val="004A48F0"/>
    <w:rsid w:val="004A49A8"/>
    <w:rsid w:val="004A4CF4"/>
    <w:rsid w:val="004A5007"/>
    <w:rsid w:val="004A505F"/>
    <w:rsid w:val="004A6122"/>
    <w:rsid w:val="004A6966"/>
    <w:rsid w:val="004A7331"/>
    <w:rsid w:val="004A7390"/>
    <w:rsid w:val="004A7791"/>
    <w:rsid w:val="004A7963"/>
    <w:rsid w:val="004A7992"/>
    <w:rsid w:val="004A7C5F"/>
    <w:rsid w:val="004A7FDC"/>
    <w:rsid w:val="004B0094"/>
    <w:rsid w:val="004B03F6"/>
    <w:rsid w:val="004B053A"/>
    <w:rsid w:val="004B0679"/>
    <w:rsid w:val="004B089B"/>
    <w:rsid w:val="004B0BBF"/>
    <w:rsid w:val="004B0C5C"/>
    <w:rsid w:val="004B0E48"/>
    <w:rsid w:val="004B18CC"/>
    <w:rsid w:val="004B19AC"/>
    <w:rsid w:val="004B1F50"/>
    <w:rsid w:val="004B2055"/>
    <w:rsid w:val="004B234C"/>
    <w:rsid w:val="004B235B"/>
    <w:rsid w:val="004B25EB"/>
    <w:rsid w:val="004B271A"/>
    <w:rsid w:val="004B2CD7"/>
    <w:rsid w:val="004B340D"/>
    <w:rsid w:val="004B34A2"/>
    <w:rsid w:val="004B3616"/>
    <w:rsid w:val="004B3774"/>
    <w:rsid w:val="004B3823"/>
    <w:rsid w:val="004B39EA"/>
    <w:rsid w:val="004B3B1B"/>
    <w:rsid w:val="004B440E"/>
    <w:rsid w:val="004B4D4E"/>
    <w:rsid w:val="004B50BF"/>
    <w:rsid w:val="004B5630"/>
    <w:rsid w:val="004B598A"/>
    <w:rsid w:val="004B5C52"/>
    <w:rsid w:val="004B6A4B"/>
    <w:rsid w:val="004B6D2F"/>
    <w:rsid w:val="004B6E4D"/>
    <w:rsid w:val="004B775A"/>
    <w:rsid w:val="004B7AC7"/>
    <w:rsid w:val="004B7B3D"/>
    <w:rsid w:val="004B7B40"/>
    <w:rsid w:val="004B7E3D"/>
    <w:rsid w:val="004B7F5B"/>
    <w:rsid w:val="004C03BA"/>
    <w:rsid w:val="004C03F0"/>
    <w:rsid w:val="004C04EC"/>
    <w:rsid w:val="004C0865"/>
    <w:rsid w:val="004C0DB8"/>
    <w:rsid w:val="004C0F82"/>
    <w:rsid w:val="004C1047"/>
    <w:rsid w:val="004C1153"/>
    <w:rsid w:val="004C1383"/>
    <w:rsid w:val="004C155E"/>
    <w:rsid w:val="004C16D4"/>
    <w:rsid w:val="004C2438"/>
    <w:rsid w:val="004C287B"/>
    <w:rsid w:val="004C2A53"/>
    <w:rsid w:val="004C2BB1"/>
    <w:rsid w:val="004C2E12"/>
    <w:rsid w:val="004C3311"/>
    <w:rsid w:val="004C3553"/>
    <w:rsid w:val="004C355C"/>
    <w:rsid w:val="004C3619"/>
    <w:rsid w:val="004C36AF"/>
    <w:rsid w:val="004C3BD9"/>
    <w:rsid w:val="004C3E3C"/>
    <w:rsid w:val="004C3EB8"/>
    <w:rsid w:val="004C3F54"/>
    <w:rsid w:val="004C4137"/>
    <w:rsid w:val="004C43C0"/>
    <w:rsid w:val="004C4C49"/>
    <w:rsid w:val="004C4F02"/>
    <w:rsid w:val="004C51FC"/>
    <w:rsid w:val="004C53B2"/>
    <w:rsid w:val="004C5DBE"/>
    <w:rsid w:val="004C6773"/>
    <w:rsid w:val="004C68A4"/>
    <w:rsid w:val="004C6C56"/>
    <w:rsid w:val="004C6CEE"/>
    <w:rsid w:val="004C72DA"/>
    <w:rsid w:val="004C73E1"/>
    <w:rsid w:val="004C78C7"/>
    <w:rsid w:val="004C7A09"/>
    <w:rsid w:val="004C7B09"/>
    <w:rsid w:val="004C7C50"/>
    <w:rsid w:val="004C7E20"/>
    <w:rsid w:val="004D00ED"/>
    <w:rsid w:val="004D02FB"/>
    <w:rsid w:val="004D0A24"/>
    <w:rsid w:val="004D0C0E"/>
    <w:rsid w:val="004D0F66"/>
    <w:rsid w:val="004D1099"/>
    <w:rsid w:val="004D1733"/>
    <w:rsid w:val="004D182D"/>
    <w:rsid w:val="004D18BC"/>
    <w:rsid w:val="004D1A8B"/>
    <w:rsid w:val="004D1AD0"/>
    <w:rsid w:val="004D1D43"/>
    <w:rsid w:val="004D2021"/>
    <w:rsid w:val="004D24F0"/>
    <w:rsid w:val="004D2DE8"/>
    <w:rsid w:val="004D3407"/>
    <w:rsid w:val="004D35D8"/>
    <w:rsid w:val="004D38F8"/>
    <w:rsid w:val="004D3A23"/>
    <w:rsid w:val="004D3B46"/>
    <w:rsid w:val="004D3CA5"/>
    <w:rsid w:val="004D405F"/>
    <w:rsid w:val="004D4187"/>
    <w:rsid w:val="004D4666"/>
    <w:rsid w:val="004D48DF"/>
    <w:rsid w:val="004D4AA0"/>
    <w:rsid w:val="004D4CEA"/>
    <w:rsid w:val="004D5075"/>
    <w:rsid w:val="004D53B1"/>
    <w:rsid w:val="004D53EF"/>
    <w:rsid w:val="004D565A"/>
    <w:rsid w:val="004D56BD"/>
    <w:rsid w:val="004D5E45"/>
    <w:rsid w:val="004D5F31"/>
    <w:rsid w:val="004D60C6"/>
    <w:rsid w:val="004D6189"/>
    <w:rsid w:val="004D6638"/>
    <w:rsid w:val="004D6CE8"/>
    <w:rsid w:val="004D6D1A"/>
    <w:rsid w:val="004D6E4F"/>
    <w:rsid w:val="004D6F49"/>
    <w:rsid w:val="004D72FA"/>
    <w:rsid w:val="004D7406"/>
    <w:rsid w:val="004D7818"/>
    <w:rsid w:val="004D7E75"/>
    <w:rsid w:val="004E001F"/>
    <w:rsid w:val="004E02AD"/>
    <w:rsid w:val="004E03C2"/>
    <w:rsid w:val="004E03FD"/>
    <w:rsid w:val="004E0577"/>
    <w:rsid w:val="004E06B6"/>
    <w:rsid w:val="004E0769"/>
    <w:rsid w:val="004E0A3F"/>
    <w:rsid w:val="004E0DB9"/>
    <w:rsid w:val="004E0F3E"/>
    <w:rsid w:val="004E1029"/>
    <w:rsid w:val="004E10BE"/>
    <w:rsid w:val="004E13AB"/>
    <w:rsid w:val="004E1401"/>
    <w:rsid w:val="004E1ABB"/>
    <w:rsid w:val="004E2116"/>
    <w:rsid w:val="004E28F5"/>
    <w:rsid w:val="004E2D00"/>
    <w:rsid w:val="004E2E11"/>
    <w:rsid w:val="004E306C"/>
    <w:rsid w:val="004E30AB"/>
    <w:rsid w:val="004E31E7"/>
    <w:rsid w:val="004E39AE"/>
    <w:rsid w:val="004E3C7A"/>
    <w:rsid w:val="004E437E"/>
    <w:rsid w:val="004E45D2"/>
    <w:rsid w:val="004E467B"/>
    <w:rsid w:val="004E4C30"/>
    <w:rsid w:val="004E4D62"/>
    <w:rsid w:val="004E507B"/>
    <w:rsid w:val="004E5227"/>
    <w:rsid w:val="004E5345"/>
    <w:rsid w:val="004E552D"/>
    <w:rsid w:val="004E57E8"/>
    <w:rsid w:val="004E59BA"/>
    <w:rsid w:val="004E5F1C"/>
    <w:rsid w:val="004E5F49"/>
    <w:rsid w:val="004E614D"/>
    <w:rsid w:val="004E614F"/>
    <w:rsid w:val="004E667C"/>
    <w:rsid w:val="004E701D"/>
    <w:rsid w:val="004E7080"/>
    <w:rsid w:val="004E71C5"/>
    <w:rsid w:val="004E7206"/>
    <w:rsid w:val="004E74F7"/>
    <w:rsid w:val="004E7761"/>
    <w:rsid w:val="004E78E3"/>
    <w:rsid w:val="004E7AA4"/>
    <w:rsid w:val="004E7C03"/>
    <w:rsid w:val="004E7CC0"/>
    <w:rsid w:val="004E7CDF"/>
    <w:rsid w:val="004E7F66"/>
    <w:rsid w:val="004F03F6"/>
    <w:rsid w:val="004F042A"/>
    <w:rsid w:val="004F0678"/>
    <w:rsid w:val="004F09AD"/>
    <w:rsid w:val="004F0DEE"/>
    <w:rsid w:val="004F11BE"/>
    <w:rsid w:val="004F139A"/>
    <w:rsid w:val="004F13A6"/>
    <w:rsid w:val="004F1A04"/>
    <w:rsid w:val="004F1CCF"/>
    <w:rsid w:val="004F1FAE"/>
    <w:rsid w:val="004F23CC"/>
    <w:rsid w:val="004F2424"/>
    <w:rsid w:val="004F252E"/>
    <w:rsid w:val="004F2826"/>
    <w:rsid w:val="004F2A62"/>
    <w:rsid w:val="004F2FC3"/>
    <w:rsid w:val="004F33BF"/>
    <w:rsid w:val="004F3828"/>
    <w:rsid w:val="004F386B"/>
    <w:rsid w:val="004F3B25"/>
    <w:rsid w:val="004F3E37"/>
    <w:rsid w:val="004F3F7C"/>
    <w:rsid w:val="004F4253"/>
    <w:rsid w:val="004F46DE"/>
    <w:rsid w:val="004F4E64"/>
    <w:rsid w:val="004F4EF9"/>
    <w:rsid w:val="004F4FFA"/>
    <w:rsid w:val="004F5079"/>
    <w:rsid w:val="004F53CD"/>
    <w:rsid w:val="004F5B3F"/>
    <w:rsid w:val="004F5DA9"/>
    <w:rsid w:val="004F5DC3"/>
    <w:rsid w:val="004F62DA"/>
    <w:rsid w:val="004F66F2"/>
    <w:rsid w:val="004F6A97"/>
    <w:rsid w:val="004F6D5C"/>
    <w:rsid w:val="004F7120"/>
    <w:rsid w:val="004F7183"/>
    <w:rsid w:val="004F71A6"/>
    <w:rsid w:val="004F71F5"/>
    <w:rsid w:val="004F7635"/>
    <w:rsid w:val="004F7AFA"/>
    <w:rsid w:val="004F7DB2"/>
    <w:rsid w:val="00500325"/>
    <w:rsid w:val="005007CD"/>
    <w:rsid w:val="00500BA7"/>
    <w:rsid w:val="00500F74"/>
    <w:rsid w:val="005010A7"/>
    <w:rsid w:val="0050157A"/>
    <w:rsid w:val="00501B3B"/>
    <w:rsid w:val="00501F6C"/>
    <w:rsid w:val="00502705"/>
    <w:rsid w:val="00502912"/>
    <w:rsid w:val="00502E5A"/>
    <w:rsid w:val="00502FEB"/>
    <w:rsid w:val="00503463"/>
    <w:rsid w:val="005035A6"/>
    <w:rsid w:val="005038E2"/>
    <w:rsid w:val="00503937"/>
    <w:rsid w:val="00503A8D"/>
    <w:rsid w:val="00503C55"/>
    <w:rsid w:val="00504154"/>
    <w:rsid w:val="0050415B"/>
    <w:rsid w:val="00504250"/>
    <w:rsid w:val="00504BC9"/>
    <w:rsid w:val="00505279"/>
    <w:rsid w:val="00505343"/>
    <w:rsid w:val="005057AC"/>
    <w:rsid w:val="005057F7"/>
    <w:rsid w:val="00505EA1"/>
    <w:rsid w:val="00505EEB"/>
    <w:rsid w:val="00505F74"/>
    <w:rsid w:val="00506184"/>
    <w:rsid w:val="00506764"/>
    <w:rsid w:val="005067B2"/>
    <w:rsid w:val="00506AD0"/>
    <w:rsid w:val="00506E9D"/>
    <w:rsid w:val="005070BC"/>
    <w:rsid w:val="00507314"/>
    <w:rsid w:val="00507343"/>
    <w:rsid w:val="005073FD"/>
    <w:rsid w:val="0050759D"/>
    <w:rsid w:val="00507952"/>
    <w:rsid w:val="00507961"/>
    <w:rsid w:val="00507A5B"/>
    <w:rsid w:val="00507C38"/>
    <w:rsid w:val="00507CFB"/>
    <w:rsid w:val="00510407"/>
    <w:rsid w:val="00511412"/>
    <w:rsid w:val="005118EE"/>
    <w:rsid w:val="00511ECB"/>
    <w:rsid w:val="00511FB4"/>
    <w:rsid w:val="005123A9"/>
    <w:rsid w:val="005126F3"/>
    <w:rsid w:val="00512750"/>
    <w:rsid w:val="00512B04"/>
    <w:rsid w:val="00512B75"/>
    <w:rsid w:val="00512CEC"/>
    <w:rsid w:val="00512FB4"/>
    <w:rsid w:val="00513401"/>
    <w:rsid w:val="0051351C"/>
    <w:rsid w:val="00513570"/>
    <w:rsid w:val="005136DA"/>
    <w:rsid w:val="00513CC6"/>
    <w:rsid w:val="00513FDE"/>
    <w:rsid w:val="0051408D"/>
    <w:rsid w:val="00514507"/>
    <w:rsid w:val="005145C2"/>
    <w:rsid w:val="0051464D"/>
    <w:rsid w:val="00514E11"/>
    <w:rsid w:val="0051505B"/>
    <w:rsid w:val="00515222"/>
    <w:rsid w:val="00515470"/>
    <w:rsid w:val="00515749"/>
    <w:rsid w:val="0051599D"/>
    <w:rsid w:val="005159DF"/>
    <w:rsid w:val="00515B63"/>
    <w:rsid w:val="00515F08"/>
    <w:rsid w:val="00516367"/>
    <w:rsid w:val="0051639C"/>
    <w:rsid w:val="00516570"/>
    <w:rsid w:val="0051664D"/>
    <w:rsid w:val="00516EED"/>
    <w:rsid w:val="00517092"/>
    <w:rsid w:val="005170BB"/>
    <w:rsid w:val="00517402"/>
    <w:rsid w:val="005178C2"/>
    <w:rsid w:val="00517A0D"/>
    <w:rsid w:val="0052010C"/>
    <w:rsid w:val="0052062B"/>
    <w:rsid w:val="00520849"/>
    <w:rsid w:val="00520CEE"/>
    <w:rsid w:val="00520D82"/>
    <w:rsid w:val="00521352"/>
    <w:rsid w:val="005217FA"/>
    <w:rsid w:val="005218E3"/>
    <w:rsid w:val="00521F78"/>
    <w:rsid w:val="00522157"/>
    <w:rsid w:val="005221F7"/>
    <w:rsid w:val="0052265C"/>
    <w:rsid w:val="0052294D"/>
    <w:rsid w:val="00522C05"/>
    <w:rsid w:val="00522DEB"/>
    <w:rsid w:val="00522E11"/>
    <w:rsid w:val="005234DB"/>
    <w:rsid w:val="005238E1"/>
    <w:rsid w:val="0052396D"/>
    <w:rsid w:val="00523CF0"/>
    <w:rsid w:val="00523E17"/>
    <w:rsid w:val="00523EFA"/>
    <w:rsid w:val="005241B0"/>
    <w:rsid w:val="0052436B"/>
    <w:rsid w:val="00524373"/>
    <w:rsid w:val="005247CF"/>
    <w:rsid w:val="005250DF"/>
    <w:rsid w:val="005251F0"/>
    <w:rsid w:val="005255D2"/>
    <w:rsid w:val="005259F0"/>
    <w:rsid w:val="00525D70"/>
    <w:rsid w:val="0052633A"/>
    <w:rsid w:val="005264AF"/>
    <w:rsid w:val="005265E1"/>
    <w:rsid w:val="005266C2"/>
    <w:rsid w:val="0052686F"/>
    <w:rsid w:val="00526A2A"/>
    <w:rsid w:val="00526CD8"/>
    <w:rsid w:val="00526EC4"/>
    <w:rsid w:val="0052759B"/>
    <w:rsid w:val="00527722"/>
    <w:rsid w:val="00527842"/>
    <w:rsid w:val="00527968"/>
    <w:rsid w:val="005303B5"/>
    <w:rsid w:val="0053041E"/>
    <w:rsid w:val="0053049A"/>
    <w:rsid w:val="005304F1"/>
    <w:rsid w:val="0053092F"/>
    <w:rsid w:val="00530AD1"/>
    <w:rsid w:val="00531663"/>
    <w:rsid w:val="005317B1"/>
    <w:rsid w:val="005317FC"/>
    <w:rsid w:val="005318D0"/>
    <w:rsid w:val="00531D2D"/>
    <w:rsid w:val="00532000"/>
    <w:rsid w:val="005322CB"/>
    <w:rsid w:val="0053269B"/>
    <w:rsid w:val="0053277E"/>
    <w:rsid w:val="005328E9"/>
    <w:rsid w:val="00532D6F"/>
    <w:rsid w:val="00532EBA"/>
    <w:rsid w:val="00533449"/>
    <w:rsid w:val="0053386A"/>
    <w:rsid w:val="005338E9"/>
    <w:rsid w:val="005338FE"/>
    <w:rsid w:val="00533BB9"/>
    <w:rsid w:val="00533D82"/>
    <w:rsid w:val="00534F47"/>
    <w:rsid w:val="00534FA0"/>
    <w:rsid w:val="005355BE"/>
    <w:rsid w:val="00535930"/>
    <w:rsid w:val="00536D76"/>
    <w:rsid w:val="00536D98"/>
    <w:rsid w:val="00537182"/>
    <w:rsid w:val="0053745A"/>
    <w:rsid w:val="0053749E"/>
    <w:rsid w:val="00537930"/>
    <w:rsid w:val="00537D61"/>
    <w:rsid w:val="00537E21"/>
    <w:rsid w:val="00540086"/>
    <w:rsid w:val="00540282"/>
    <w:rsid w:val="005405FA"/>
    <w:rsid w:val="00540784"/>
    <w:rsid w:val="00541468"/>
    <w:rsid w:val="0054172E"/>
    <w:rsid w:val="00541827"/>
    <w:rsid w:val="00541B0A"/>
    <w:rsid w:val="00541C05"/>
    <w:rsid w:val="00541C35"/>
    <w:rsid w:val="00541E57"/>
    <w:rsid w:val="005421C4"/>
    <w:rsid w:val="005421E6"/>
    <w:rsid w:val="0054246A"/>
    <w:rsid w:val="00542AF7"/>
    <w:rsid w:val="00542D4B"/>
    <w:rsid w:val="005430AF"/>
    <w:rsid w:val="005436B6"/>
    <w:rsid w:val="005438F7"/>
    <w:rsid w:val="00543B3B"/>
    <w:rsid w:val="00543CB0"/>
    <w:rsid w:val="00543FDB"/>
    <w:rsid w:val="005441C9"/>
    <w:rsid w:val="005448AF"/>
    <w:rsid w:val="00544D8C"/>
    <w:rsid w:val="00545158"/>
    <w:rsid w:val="00545757"/>
    <w:rsid w:val="005463A8"/>
    <w:rsid w:val="00546947"/>
    <w:rsid w:val="0054695A"/>
    <w:rsid w:val="00546AAA"/>
    <w:rsid w:val="00546DFA"/>
    <w:rsid w:val="00546EEA"/>
    <w:rsid w:val="005473E8"/>
    <w:rsid w:val="00547A16"/>
    <w:rsid w:val="00547B25"/>
    <w:rsid w:val="00547B4F"/>
    <w:rsid w:val="0055014D"/>
    <w:rsid w:val="00550ADC"/>
    <w:rsid w:val="00550B3E"/>
    <w:rsid w:val="005511CC"/>
    <w:rsid w:val="0055122C"/>
    <w:rsid w:val="005515C3"/>
    <w:rsid w:val="005516DD"/>
    <w:rsid w:val="00551885"/>
    <w:rsid w:val="00551C50"/>
    <w:rsid w:val="0055207F"/>
    <w:rsid w:val="00552174"/>
    <w:rsid w:val="0055220D"/>
    <w:rsid w:val="00552426"/>
    <w:rsid w:val="0055260C"/>
    <w:rsid w:val="005526B9"/>
    <w:rsid w:val="00552A30"/>
    <w:rsid w:val="005530FE"/>
    <w:rsid w:val="005531D6"/>
    <w:rsid w:val="005532DF"/>
    <w:rsid w:val="00553348"/>
    <w:rsid w:val="0055366F"/>
    <w:rsid w:val="00553748"/>
    <w:rsid w:val="005538D7"/>
    <w:rsid w:val="00553914"/>
    <w:rsid w:val="005539AF"/>
    <w:rsid w:val="00553DA5"/>
    <w:rsid w:val="00553DD3"/>
    <w:rsid w:val="00553DEA"/>
    <w:rsid w:val="00553ECB"/>
    <w:rsid w:val="005540D1"/>
    <w:rsid w:val="005541C6"/>
    <w:rsid w:val="005541F0"/>
    <w:rsid w:val="005543AA"/>
    <w:rsid w:val="005543B9"/>
    <w:rsid w:val="00554732"/>
    <w:rsid w:val="00554858"/>
    <w:rsid w:val="00554B5A"/>
    <w:rsid w:val="00554CE2"/>
    <w:rsid w:val="005551F8"/>
    <w:rsid w:val="005554A1"/>
    <w:rsid w:val="005558AE"/>
    <w:rsid w:val="00555A35"/>
    <w:rsid w:val="00555C05"/>
    <w:rsid w:val="00555D45"/>
    <w:rsid w:val="00555F63"/>
    <w:rsid w:val="005567FD"/>
    <w:rsid w:val="00556999"/>
    <w:rsid w:val="00556A86"/>
    <w:rsid w:val="00556A89"/>
    <w:rsid w:val="00556D51"/>
    <w:rsid w:val="005572F5"/>
    <w:rsid w:val="0055753C"/>
    <w:rsid w:val="00557DAF"/>
    <w:rsid w:val="00557F4A"/>
    <w:rsid w:val="0056010A"/>
    <w:rsid w:val="00560734"/>
    <w:rsid w:val="00560C3E"/>
    <w:rsid w:val="00560F64"/>
    <w:rsid w:val="00561676"/>
    <w:rsid w:val="0056193B"/>
    <w:rsid w:val="00561C8C"/>
    <w:rsid w:val="00561D44"/>
    <w:rsid w:val="0056225A"/>
    <w:rsid w:val="00562758"/>
    <w:rsid w:val="0056295C"/>
    <w:rsid w:val="005635B5"/>
    <w:rsid w:val="0056381F"/>
    <w:rsid w:val="00563B31"/>
    <w:rsid w:val="00563BD4"/>
    <w:rsid w:val="00563C05"/>
    <w:rsid w:val="00564C92"/>
    <w:rsid w:val="00564DB4"/>
    <w:rsid w:val="005651C0"/>
    <w:rsid w:val="0056534F"/>
    <w:rsid w:val="00565854"/>
    <w:rsid w:val="00565D54"/>
    <w:rsid w:val="005660E7"/>
    <w:rsid w:val="00566303"/>
    <w:rsid w:val="005663AD"/>
    <w:rsid w:val="005665BB"/>
    <w:rsid w:val="005665DA"/>
    <w:rsid w:val="00566654"/>
    <w:rsid w:val="00566A81"/>
    <w:rsid w:val="00566B0A"/>
    <w:rsid w:val="00566D79"/>
    <w:rsid w:val="00567169"/>
    <w:rsid w:val="005674E0"/>
    <w:rsid w:val="005678B4"/>
    <w:rsid w:val="00567A58"/>
    <w:rsid w:val="00567E00"/>
    <w:rsid w:val="00567FC0"/>
    <w:rsid w:val="00570071"/>
    <w:rsid w:val="00570477"/>
    <w:rsid w:val="005705BF"/>
    <w:rsid w:val="0057089F"/>
    <w:rsid w:val="00570EB7"/>
    <w:rsid w:val="00570F65"/>
    <w:rsid w:val="00570FCB"/>
    <w:rsid w:val="00571162"/>
    <w:rsid w:val="00571238"/>
    <w:rsid w:val="00571425"/>
    <w:rsid w:val="005714A0"/>
    <w:rsid w:val="0057166E"/>
    <w:rsid w:val="0057169E"/>
    <w:rsid w:val="00571A0E"/>
    <w:rsid w:val="00571CAE"/>
    <w:rsid w:val="005720BA"/>
    <w:rsid w:val="005721B5"/>
    <w:rsid w:val="005726B3"/>
    <w:rsid w:val="00572750"/>
    <w:rsid w:val="005727C6"/>
    <w:rsid w:val="005727DC"/>
    <w:rsid w:val="0057282C"/>
    <w:rsid w:val="0057306E"/>
    <w:rsid w:val="005734D8"/>
    <w:rsid w:val="0057393B"/>
    <w:rsid w:val="00573944"/>
    <w:rsid w:val="00573A33"/>
    <w:rsid w:val="0057410C"/>
    <w:rsid w:val="005742B0"/>
    <w:rsid w:val="005742CC"/>
    <w:rsid w:val="00574305"/>
    <w:rsid w:val="005746D5"/>
    <w:rsid w:val="00574842"/>
    <w:rsid w:val="00574A67"/>
    <w:rsid w:val="00574CD2"/>
    <w:rsid w:val="00574F25"/>
    <w:rsid w:val="00574FBE"/>
    <w:rsid w:val="00575054"/>
    <w:rsid w:val="00575067"/>
    <w:rsid w:val="0057556A"/>
    <w:rsid w:val="005755B4"/>
    <w:rsid w:val="00575A88"/>
    <w:rsid w:val="00575B54"/>
    <w:rsid w:val="00575D7E"/>
    <w:rsid w:val="0057605C"/>
    <w:rsid w:val="005760A8"/>
    <w:rsid w:val="005760EE"/>
    <w:rsid w:val="0057636F"/>
    <w:rsid w:val="0057661B"/>
    <w:rsid w:val="0057692A"/>
    <w:rsid w:val="00577585"/>
    <w:rsid w:val="005779D6"/>
    <w:rsid w:val="00577D7F"/>
    <w:rsid w:val="005802BD"/>
    <w:rsid w:val="00580A3A"/>
    <w:rsid w:val="00580A8D"/>
    <w:rsid w:val="00580DC5"/>
    <w:rsid w:val="0058147D"/>
    <w:rsid w:val="0058174D"/>
    <w:rsid w:val="00581A08"/>
    <w:rsid w:val="00581BBD"/>
    <w:rsid w:val="00581CC6"/>
    <w:rsid w:val="00581DA1"/>
    <w:rsid w:val="005823F5"/>
    <w:rsid w:val="00582406"/>
    <w:rsid w:val="005827A3"/>
    <w:rsid w:val="00582892"/>
    <w:rsid w:val="00582912"/>
    <w:rsid w:val="0058291F"/>
    <w:rsid w:val="00582CD0"/>
    <w:rsid w:val="00582FA1"/>
    <w:rsid w:val="005831EE"/>
    <w:rsid w:val="005834A6"/>
    <w:rsid w:val="00584056"/>
    <w:rsid w:val="00584523"/>
    <w:rsid w:val="005849C0"/>
    <w:rsid w:val="005849C2"/>
    <w:rsid w:val="00585273"/>
    <w:rsid w:val="0058576A"/>
    <w:rsid w:val="00585920"/>
    <w:rsid w:val="00585A17"/>
    <w:rsid w:val="00585A60"/>
    <w:rsid w:val="00585D63"/>
    <w:rsid w:val="00585F50"/>
    <w:rsid w:val="0058606C"/>
    <w:rsid w:val="005862AC"/>
    <w:rsid w:val="0058639A"/>
    <w:rsid w:val="00586417"/>
    <w:rsid w:val="00586AF9"/>
    <w:rsid w:val="00586C4D"/>
    <w:rsid w:val="00587181"/>
    <w:rsid w:val="005877AF"/>
    <w:rsid w:val="005877C2"/>
    <w:rsid w:val="0058799A"/>
    <w:rsid w:val="00587B89"/>
    <w:rsid w:val="00587BEA"/>
    <w:rsid w:val="00587DD2"/>
    <w:rsid w:val="0059002A"/>
    <w:rsid w:val="005901D6"/>
    <w:rsid w:val="00590353"/>
    <w:rsid w:val="005908F8"/>
    <w:rsid w:val="005913CF"/>
    <w:rsid w:val="005915AC"/>
    <w:rsid w:val="0059182B"/>
    <w:rsid w:val="00591998"/>
    <w:rsid w:val="00591ECC"/>
    <w:rsid w:val="00592358"/>
    <w:rsid w:val="00592725"/>
    <w:rsid w:val="0059278E"/>
    <w:rsid w:val="005928B0"/>
    <w:rsid w:val="00592F00"/>
    <w:rsid w:val="00593409"/>
    <w:rsid w:val="00593457"/>
    <w:rsid w:val="005935DD"/>
    <w:rsid w:val="00593BFD"/>
    <w:rsid w:val="00593EB4"/>
    <w:rsid w:val="005942BE"/>
    <w:rsid w:val="005942EF"/>
    <w:rsid w:val="0059437D"/>
    <w:rsid w:val="005943A2"/>
    <w:rsid w:val="00594586"/>
    <w:rsid w:val="00594789"/>
    <w:rsid w:val="005947DF"/>
    <w:rsid w:val="00594B1D"/>
    <w:rsid w:val="00594D3D"/>
    <w:rsid w:val="00594D45"/>
    <w:rsid w:val="00595054"/>
    <w:rsid w:val="00595495"/>
    <w:rsid w:val="0059552D"/>
    <w:rsid w:val="00596117"/>
    <w:rsid w:val="00596391"/>
    <w:rsid w:val="005965CA"/>
    <w:rsid w:val="005968B5"/>
    <w:rsid w:val="00596FA4"/>
    <w:rsid w:val="00597504"/>
    <w:rsid w:val="0059754A"/>
    <w:rsid w:val="005976F8"/>
    <w:rsid w:val="00597975"/>
    <w:rsid w:val="00597DFF"/>
    <w:rsid w:val="005A02D8"/>
    <w:rsid w:val="005A061C"/>
    <w:rsid w:val="005A0764"/>
    <w:rsid w:val="005A078D"/>
    <w:rsid w:val="005A0813"/>
    <w:rsid w:val="005A0A64"/>
    <w:rsid w:val="005A12B6"/>
    <w:rsid w:val="005A13B5"/>
    <w:rsid w:val="005A145C"/>
    <w:rsid w:val="005A16A2"/>
    <w:rsid w:val="005A19BE"/>
    <w:rsid w:val="005A1B7E"/>
    <w:rsid w:val="005A1DDA"/>
    <w:rsid w:val="005A2266"/>
    <w:rsid w:val="005A254A"/>
    <w:rsid w:val="005A26CD"/>
    <w:rsid w:val="005A277F"/>
    <w:rsid w:val="005A28A0"/>
    <w:rsid w:val="005A2CD0"/>
    <w:rsid w:val="005A3129"/>
    <w:rsid w:val="005A3164"/>
    <w:rsid w:val="005A31AD"/>
    <w:rsid w:val="005A3BCC"/>
    <w:rsid w:val="005A3EDC"/>
    <w:rsid w:val="005A3F7B"/>
    <w:rsid w:val="005A41A3"/>
    <w:rsid w:val="005A42A0"/>
    <w:rsid w:val="005A4478"/>
    <w:rsid w:val="005A4BAB"/>
    <w:rsid w:val="005A4E47"/>
    <w:rsid w:val="005A51F3"/>
    <w:rsid w:val="005A5582"/>
    <w:rsid w:val="005A5599"/>
    <w:rsid w:val="005A57B9"/>
    <w:rsid w:val="005A5C8E"/>
    <w:rsid w:val="005A61A0"/>
    <w:rsid w:val="005A61B0"/>
    <w:rsid w:val="005A6261"/>
    <w:rsid w:val="005A63B2"/>
    <w:rsid w:val="005A64B3"/>
    <w:rsid w:val="005A65B1"/>
    <w:rsid w:val="005A68AF"/>
    <w:rsid w:val="005A6B89"/>
    <w:rsid w:val="005A6BC4"/>
    <w:rsid w:val="005A6D66"/>
    <w:rsid w:val="005A7064"/>
    <w:rsid w:val="005A7078"/>
    <w:rsid w:val="005A752A"/>
    <w:rsid w:val="005A7FA4"/>
    <w:rsid w:val="005B000A"/>
    <w:rsid w:val="005B02BA"/>
    <w:rsid w:val="005B0754"/>
    <w:rsid w:val="005B0878"/>
    <w:rsid w:val="005B0FB2"/>
    <w:rsid w:val="005B0FCE"/>
    <w:rsid w:val="005B1053"/>
    <w:rsid w:val="005B1127"/>
    <w:rsid w:val="005B1233"/>
    <w:rsid w:val="005B134D"/>
    <w:rsid w:val="005B1396"/>
    <w:rsid w:val="005B1421"/>
    <w:rsid w:val="005B16CD"/>
    <w:rsid w:val="005B1838"/>
    <w:rsid w:val="005B198E"/>
    <w:rsid w:val="005B20FD"/>
    <w:rsid w:val="005B21FE"/>
    <w:rsid w:val="005B25FD"/>
    <w:rsid w:val="005B27DF"/>
    <w:rsid w:val="005B2CC8"/>
    <w:rsid w:val="005B3078"/>
    <w:rsid w:val="005B33C5"/>
    <w:rsid w:val="005B357E"/>
    <w:rsid w:val="005B36F6"/>
    <w:rsid w:val="005B3C83"/>
    <w:rsid w:val="005B4409"/>
    <w:rsid w:val="005B44BF"/>
    <w:rsid w:val="005B49A9"/>
    <w:rsid w:val="005B537F"/>
    <w:rsid w:val="005B622F"/>
    <w:rsid w:val="005B64A4"/>
    <w:rsid w:val="005B668C"/>
    <w:rsid w:val="005B67E4"/>
    <w:rsid w:val="005B69C5"/>
    <w:rsid w:val="005B6B00"/>
    <w:rsid w:val="005B6B28"/>
    <w:rsid w:val="005B6CC2"/>
    <w:rsid w:val="005B6EBE"/>
    <w:rsid w:val="005B6F62"/>
    <w:rsid w:val="005B7536"/>
    <w:rsid w:val="005B77CB"/>
    <w:rsid w:val="005B7E64"/>
    <w:rsid w:val="005C037E"/>
    <w:rsid w:val="005C0419"/>
    <w:rsid w:val="005C0B98"/>
    <w:rsid w:val="005C0BF9"/>
    <w:rsid w:val="005C0DC6"/>
    <w:rsid w:val="005C126F"/>
    <w:rsid w:val="005C137A"/>
    <w:rsid w:val="005C1C5D"/>
    <w:rsid w:val="005C1D53"/>
    <w:rsid w:val="005C1F1C"/>
    <w:rsid w:val="005C2116"/>
    <w:rsid w:val="005C214D"/>
    <w:rsid w:val="005C21BF"/>
    <w:rsid w:val="005C247E"/>
    <w:rsid w:val="005C2578"/>
    <w:rsid w:val="005C28B1"/>
    <w:rsid w:val="005C2BC3"/>
    <w:rsid w:val="005C2D1B"/>
    <w:rsid w:val="005C2FC4"/>
    <w:rsid w:val="005C30A9"/>
    <w:rsid w:val="005C3126"/>
    <w:rsid w:val="005C3361"/>
    <w:rsid w:val="005C34D8"/>
    <w:rsid w:val="005C4180"/>
    <w:rsid w:val="005C452F"/>
    <w:rsid w:val="005C4EA9"/>
    <w:rsid w:val="005C4F80"/>
    <w:rsid w:val="005C5296"/>
    <w:rsid w:val="005C5385"/>
    <w:rsid w:val="005C6030"/>
    <w:rsid w:val="005C6558"/>
    <w:rsid w:val="005C67E9"/>
    <w:rsid w:val="005C6869"/>
    <w:rsid w:val="005C6981"/>
    <w:rsid w:val="005C6A7D"/>
    <w:rsid w:val="005C6DF0"/>
    <w:rsid w:val="005C70FD"/>
    <w:rsid w:val="005C7341"/>
    <w:rsid w:val="005C73DA"/>
    <w:rsid w:val="005C757A"/>
    <w:rsid w:val="005D0072"/>
    <w:rsid w:val="005D0216"/>
    <w:rsid w:val="005D05A8"/>
    <w:rsid w:val="005D0C8A"/>
    <w:rsid w:val="005D0D8E"/>
    <w:rsid w:val="005D11AA"/>
    <w:rsid w:val="005D12DC"/>
    <w:rsid w:val="005D162C"/>
    <w:rsid w:val="005D17D4"/>
    <w:rsid w:val="005D190D"/>
    <w:rsid w:val="005D19C0"/>
    <w:rsid w:val="005D1E9F"/>
    <w:rsid w:val="005D230F"/>
    <w:rsid w:val="005D3033"/>
    <w:rsid w:val="005D3245"/>
    <w:rsid w:val="005D33D2"/>
    <w:rsid w:val="005D34B7"/>
    <w:rsid w:val="005D36C5"/>
    <w:rsid w:val="005D3CBB"/>
    <w:rsid w:val="005D3E14"/>
    <w:rsid w:val="005D3E55"/>
    <w:rsid w:val="005D3EF9"/>
    <w:rsid w:val="005D4392"/>
    <w:rsid w:val="005D45D6"/>
    <w:rsid w:val="005D45F4"/>
    <w:rsid w:val="005D4734"/>
    <w:rsid w:val="005D4897"/>
    <w:rsid w:val="005D4B48"/>
    <w:rsid w:val="005D4CAD"/>
    <w:rsid w:val="005D4CC3"/>
    <w:rsid w:val="005D4DF6"/>
    <w:rsid w:val="005D4F22"/>
    <w:rsid w:val="005D5151"/>
    <w:rsid w:val="005D5272"/>
    <w:rsid w:val="005D562E"/>
    <w:rsid w:val="005D578B"/>
    <w:rsid w:val="005D5993"/>
    <w:rsid w:val="005D5BBC"/>
    <w:rsid w:val="005D5DF0"/>
    <w:rsid w:val="005D6279"/>
    <w:rsid w:val="005D6582"/>
    <w:rsid w:val="005D6658"/>
    <w:rsid w:val="005D66A8"/>
    <w:rsid w:val="005D674E"/>
    <w:rsid w:val="005D687F"/>
    <w:rsid w:val="005D68CF"/>
    <w:rsid w:val="005D69B4"/>
    <w:rsid w:val="005D6A72"/>
    <w:rsid w:val="005D74CC"/>
    <w:rsid w:val="005D7562"/>
    <w:rsid w:val="005D7564"/>
    <w:rsid w:val="005D76A9"/>
    <w:rsid w:val="005D7868"/>
    <w:rsid w:val="005D78BE"/>
    <w:rsid w:val="005D7AED"/>
    <w:rsid w:val="005D7F32"/>
    <w:rsid w:val="005E0704"/>
    <w:rsid w:val="005E0715"/>
    <w:rsid w:val="005E075F"/>
    <w:rsid w:val="005E08D5"/>
    <w:rsid w:val="005E0B5A"/>
    <w:rsid w:val="005E0BF1"/>
    <w:rsid w:val="005E109F"/>
    <w:rsid w:val="005E1125"/>
    <w:rsid w:val="005E1280"/>
    <w:rsid w:val="005E1540"/>
    <w:rsid w:val="005E16DB"/>
    <w:rsid w:val="005E1852"/>
    <w:rsid w:val="005E1884"/>
    <w:rsid w:val="005E1F73"/>
    <w:rsid w:val="005E1F7D"/>
    <w:rsid w:val="005E230D"/>
    <w:rsid w:val="005E2778"/>
    <w:rsid w:val="005E2DDC"/>
    <w:rsid w:val="005E3232"/>
    <w:rsid w:val="005E324D"/>
    <w:rsid w:val="005E3366"/>
    <w:rsid w:val="005E35F4"/>
    <w:rsid w:val="005E3C2E"/>
    <w:rsid w:val="005E3C60"/>
    <w:rsid w:val="005E437A"/>
    <w:rsid w:val="005E43CE"/>
    <w:rsid w:val="005E45AD"/>
    <w:rsid w:val="005E4865"/>
    <w:rsid w:val="005E4DFA"/>
    <w:rsid w:val="005E4E36"/>
    <w:rsid w:val="005E4FD2"/>
    <w:rsid w:val="005E5136"/>
    <w:rsid w:val="005E542C"/>
    <w:rsid w:val="005E5707"/>
    <w:rsid w:val="005E5862"/>
    <w:rsid w:val="005E5F71"/>
    <w:rsid w:val="005E66B4"/>
    <w:rsid w:val="005E67F6"/>
    <w:rsid w:val="005E6901"/>
    <w:rsid w:val="005E691E"/>
    <w:rsid w:val="005E6BA0"/>
    <w:rsid w:val="005E74A1"/>
    <w:rsid w:val="005E7643"/>
    <w:rsid w:val="005E78E9"/>
    <w:rsid w:val="005E79D6"/>
    <w:rsid w:val="005E7B33"/>
    <w:rsid w:val="005E7B8A"/>
    <w:rsid w:val="005E7C6B"/>
    <w:rsid w:val="005E7D89"/>
    <w:rsid w:val="005E7FF6"/>
    <w:rsid w:val="005F0050"/>
    <w:rsid w:val="005F0099"/>
    <w:rsid w:val="005F04CB"/>
    <w:rsid w:val="005F08B1"/>
    <w:rsid w:val="005F094D"/>
    <w:rsid w:val="005F0E1F"/>
    <w:rsid w:val="005F0F3D"/>
    <w:rsid w:val="005F11EA"/>
    <w:rsid w:val="005F13A4"/>
    <w:rsid w:val="005F1477"/>
    <w:rsid w:val="005F15AE"/>
    <w:rsid w:val="005F171D"/>
    <w:rsid w:val="005F1912"/>
    <w:rsid w:val="005F1BB0"/>
    <w:rsid w:val="005F1CAA"/>
    <w:rsid w:val="005F1D18"/>
    <w:rsid w:val="005F1D40"/>
    <w:rsid w:val="005F2085"/>
    <w:rsid w:val="005F25CD"/>
    <w:rsid w:val="005F28C0"/>
    <w:rsid w:val="005F294D"/>
    <w:rsid w:val="005F295A"/>
    <w:rsid w:val="005F2B31"/>
    <w:rsid w:val="005F2CC3"/>
    <w:rsid w:val="005F2EF4"/>
    <w:rsid w:val="005F2F04"/>
    <w:rsid w:val="005F31C0"/>
    <w:rsid w:val="005F35D8"/>
    <w:rsid w:val="005F36A0"/>
    <w:rsid w:val="005F3993"/>
    <w:rsid w:val="005F43D5"/>
    <w:rsid w:val="005F4430"/>
    <w:rsid w:val="005F44E1"/>
    <w:rsid w:val="005F48F0"/>
    <w:rsid w:val="005F48FB"/>
    <w:rsid w:val="005F496A"/>
    <w:rsid w:val="005F4F25"/>
    <w:rsid w:val="005F5132"/>
    <w:rsid w:val="005F547A"/>
    <w:rsid w:val="005F566A"/>
    <w:rsid w:val="005F5833"/>
    <w:rsid w:val="005F58D4"/>
    <w:rsid w:val="005F5C0C"/>
    <w:rsid w:val="005F5C30"/>
    <w:rsid w:val="005F5C88"/>
    <w:rsid w:val="005F5CA8"/>
    <w:rsid w:val="005F5D7B"/>
    <w:rsid w:val="005F6099"/>
    <w:rsid w:val="005F66DB"/>
    <w:rsid w:val="005F7190"/>
    <w:rsid w:val="005F74B6"/>
    <w:rsid w:val="005F7831"/>
    <w:rsid w:val="005F7837"/>
    <w:rsid w:val="005F79D2"/>
    <w:rsid w:val="005F7B00"/>
    <w:rsid w:val="005F7B1E"/>
    <w:rsid w:val="005F7D90"/>
    <w:rsid w:val="00600378"/>
    <w:rsid w:val="006016A8"/>
    <w:rsid w:val="0060186D"/>
    <w:rsid w:val="00601984"/>
    <w:rsid w:val="00601B8C"/>
    <w:rsid w:val="00602772"/>
    <w:rsid w:val="00602EDD"/>
    <w:rsid w:val="0060315D"/>
    <w:rsid w:val="006038C8"/>
    <w:rsid w:val="00603AE1"/>
    <w:rsid w:val="0060435B"/>
    <w:rsid w:val="006043E7"/>
    <w:rsid w:val="006047E9"/>
    <w:rsid w:val="00604BA0"/>
    <w:rsid w:val="00604C63"/>
    <w:rsid w:val="00605352"/>
    <w:rsid w:val="00605A92"/>
    <w:rsid w:val="00605B7A"/>
    <w:rsid w:val="00605CFE"/>
    <w:rsid w:val="006066E2"/>
    <w:rsid w:val="006069CF"/>
    <w:rsid w:val="00606C88"/>
    <w:rsid w:val="00606DD5"/>
    <w:rsid w:val="0060711A"/>
    <w:rsid w:val="0060745D"/>
    <w:rsid w:val="00607805"/>
    <w:rsid w:val="00607984"/>
    <w:rsid w:val="006110E7"/>
    <w:rsid w:val="006110FF"/>
    <w:rsid w:val="0061119B"/>
    <w:rsid w:val="006111B0"/>
    <w:rsid w:val="006112AA"/>
    <w:rsid w:val="00611382"/>
    <w:rsid w:val="0061147B"/>
    <w:rsid w:val="0061179A"/>
    <w:rsid w:val="0061249A"/>
    <w:rsid w:val="00612D0A"/>
    <w:rsid w:val="00613323"/>
    <w:rsid w:val="00613676"/>
    <w:rsid w:val="006139A7"/>
    <w:rsid w:val="00613F65"/>
    <w:rsid w:val="00614448"/>
    <w:rsid w:val="006148B2"/>
    <w:rsid w:val="00614A66"/>
    <w:rsid w:val="00614E01"/>
    <w:rsid w:val="00614F60"/>
    <w:rsid w:val="0061531A"/>
    <w:rsid w:val="0061537E"/>
    <w:rsid w:val="00615B03"/>
    <w:rsid w:val="00615BEF"/>
    <w:rsid w:val="00615C32"/>
    <w:rsid w:val="00615DEA"/>
    <w:rsid w:val="0061606A"/>
    <w:rsid w:val="00616512"/>
    <w:rsid w:val="00616F2B"/>
    <w:rsid w:val="00617C29"/>
    <w:rsid w:val="00617C76"/>
    <w:rsid w:val="00617E4F"/>
    <w:rsid w:val="00620616"/>
    <w:rsid w:val="00620EA8"/>
    <w:rsid w:val="00621330"/>
    <w:rsid w:val="00621648"/>
    <w:rsid w:val="00621B74"/>
    <w:rsid w:val="00621D2C"/>
    <w:rsid w:val="006220AC"/>
    <w:rsid w:val="00622321"/>
    <w:rsid w:val="006223BD"/>
    <w:rsid w:val="00622778"/>
    <w:rsid w:val="00622983"/>
    <w:rsid w:val="00622CD4"/>
    <w:rsid w:val="00622D30"/>
    <w:rsid w:val="00622E9C"/>
    <w:rsid w:val="00623176"/>
    <w:rsid w:val="006234F5"/>
    <w:rsid w:val="00623D9D"/>
    <w:rsid w:val="006242FF"/>
    <w:rsid w:val="00624CD6"/>
    <w:rsid w:val="006250D5"/>
    <w:rsid w:val="00625723"/>
    <w:rsid w:val="00625779"/>
    <w:rsid w:val="006257EB"/>
    <w:rsid w:val="00625C97"/>
    <w:rsid w:val="00625CD3"/>
    <w:rsid w:val="00625E6D"/>
    <w:rsid w:val="0062628E"/>
    <w:rsid w:val="006262C8"/>
    <w:rsid w:val="006263AB"/>
    <w:rsid w:val="00626A81"/>
    <w:rsid w:val="00626A8C"/>
    <w:rsid w:val="0062728D"/>
    <w:rsid w:val="006272F4"/>
    <w:rsid w:val="0062762F"/>
    <w:rsid w:val="006279C6"/>
    <w:rsid w:val="00627A20"/>
    <w:rsid w:val="00627D23"/>
    <w:rsid w:val="00627D84"/>
    <w:rsid w:val="00630114"/>
    <w:rsid w:val="0063031F"/>
    <w:rsid w:val="0063032D"/>
    <w:rsid w:val="0063046C"/>
    <w:rsid w:val="006305F3"/>
    <w:rsid w:val="0063082B"/>
    <w:rsid w:val="00630C91"/>
    <w:rsid w:val="00630D34"/>
    <w:rsid w:val="00630E1F"/>
    <w:rsid w:val="00630EBA"/>
    <w:rsid w:val="00630FCE"/>
    <w:rsid w:val="006312CA"/>
    <w:rsid w:val="00631435"/>
    <w:rsid w:val="00631FDB"/>
    <w:rsid w:val="0063220C"/>
    <w:rsid w:val="00632350"/>
    <w:rsid w:val="0063249A"/>
    <w:rsid w:val="00632585"/>
    <w:rsid w:val="006325F3"/>
    <w:rsid w:val="00632619"/>
    <w:rsid w:val="006326DE"/>
    <w:rsid w:val="00632AFA"/>
    <w:rsid w:val="00632D80"/>
    <w:rsid w:val="00632E80"/>
    <w:rsid w:val="00632F23"/>
    <w:rsid w:val="006330FC"/>
    <w:rsid w:val="0063311A"/>
    <w:rsid w:val="00633404"/>
    <w:rsid w:val="00633464"/>
    <w:rsid w:val="00633594"/>
    <w:rsid w:val="00633C1C"/>
    <w:rsid w:val="006343B2"/>
    <w:rsid w:val="00634457"/>
    <w:rsid w:val="006344A3"/>
    <w:rsid w:val="0063464E"/>
    <w:rsid w:val="006352C5"/>
    <w:rsid w:val="00635770"/>
    <w:rsid w:val="00636930"/>
    <w:rsid w:val="00636A22"/>
    <w:rsid w:val="00636B12"/>
    <w:rsid w:val="00637077"/>
    <w:rsid w:val="006373BB"/>
    <w:rsid w:val="0063766E"/>
    <w:rsid w:val="0063780D"/>
    <w:rsid w:val="00637A8E"/>
    <w:rsid w:val="00637B85"/>
    <w:rsid w:val="00637FC4"/>
    <w:rsid w:val="00637FE5"/>
    <w:rsid w:val="006403A5"/>
    <w:rsid w:val="006406EB"/>
    <w:rsid w:val="0064096E"/>
    <w:rsid w:val="00640AEE"/>
    <w:rsid w:val="00641060"/>
    <w:rsid w:val="006410EE"/>
    <w:rsid w:val="006413A5"/>
    <w:rsid w:val="006416FC"/>
    <w:rsid w:val="006418B3"/>
    <w:rsid w:val="00641C02"/>
    <w:rsid w:val="0064206F"/>
    <w:rsid w:val="006422A4"/>
    <w:rsid w:val="00642652"/>
    <w:rsid w:val="00642ABA"/>
    <w:rsid w:val="00643033"/>
    <w:rsid w:val="0064325E"/>
    <w:rsid w:val="0064328E"/>
    <w:rsid w:val="00643B1D"/>
    <w:rsid w:val="00643FB3"/>
    <w:rsid w:val="006441D8"/>
    <w:rsid w:val="00644310"/>
    <w:rsid w:val="006444B0"/>
    <w:rsid w:val="00644A53"/>
    <w:rsid w:val="00644B6E"/>
    <w:rsid w:val="0064598A"/>
    <w:rsid w:val="00645A00"/>
    <w:rsid w:val="00645DAC"/>
    <w:rsid w:val="00645DC8"/>
    <w:rsid w:val="00646097"/>
    <w:rsid w:val="006463A6"/>
    <w:rsid w:val="00646692"/>
    <w:rsid w:val="00646703"/>
    <w:rsid w:val="00646A77"/>
    <w:rsid w:val="00646EC4"/>
    <w:rsid w:val="00646F81"/>
    <w:rsid w:val="00646FAA"/>
    <w:rsid w:val="006477F9"/>
    <w:rsid w:val="006478FD"/>
    <w:rsid w:val="00650194"/>
    <w:rsid w:val="00650AD3"/>
    <w:rsid w:val="00650C19"/>
    <w:rsid w:val="00650D0A"/>
    <w:rsid w:val="00650E77"/>
    <w:rsid w:val="00651317"/>
    <w:rsid w:val="00651377"/>
    <w:rsid w:val="006514CB"/>
    <w:rsid w:val="006516CF"/>
    <w:rsid w:val="00651C96"/>
    <w:rsid w:val="00651CA9"/>
    <w:rsid w:val="00651D42"/>
    <w:rsid w:val="0065203C"/>
    <w:rsid w:val="00652220"/>
    <w:rsid w:val="006524FA"/>
    <w:rsid w:val="00652DF0"/>
    <w:rsid w:val="00653006"/>
    <w:rsid w:val="006533D6"/>
    <w:rsid w:val="0065358A"/>
    <w:rsid w:val="0065368F"/>
    <w:rsid w:val="006536C5"/>
    <w:rsid w:val="006538E5"/>
    <w:rsid w:val="00653A79"/>
    <w:rsid w:val="00653AA8"/>
    <w:rsid w:val="00653DEB"/>
    <w:rsid w:val="00653FD7"/>
    <w:rsid w:val="0065477E"/>
    <w:rsid w:val="00654DA2"/>
    <w:rsid w:val="00654E82"/>
    <w:rsid w:val="00654FB0"/>
    <w:rsid w:val="00654FE7"/>
    <w:rsid w:val="00655120"/>
    <w:rsid w:val="0065555A"/>
    <w:rsid w:val="0065583F"/>
    <w:rsid w:val="00655BB3"/>
    <w:rsid w:val="00655CBD"/>
    <w:rsid w:val="0065607C"/>
    <w:rsid w:val="006561CF"/>
    <w:rsid w:val="0065632D"/>
    <w:rsid w:val="006567AD"/>
    <w:rsid w:val="006567BF"/>
    <w:rsid w:val="00656EBE"/>
    <w:rsid w:val="0065721A"/>
    <w:rsid w:val="00657544"/>
    <w:rsid w:val="0065764F"/>
    <w:rsid w:val="006578A0"/>
    <w:rsid w:val="0065796D"/>
    <w:rsid w:val="00657C6C"/>
    <w:rsid w:val="00657DAC"/>
    <w:rsid w:val="00657DCB"/>
    <w:rsid w:val="00657FF7"/>
    <w:rsid w:val="00660377"/>
    <w:rsid w:val="006604AE"/>
    <w:rsid w:val="0066053E"/>
    <w:rsid w:val="006605CD"/>
    <w:rsid w:val="0066060E"/>
    <w:rsid w:val="0066067D"/>
    <w:rsid w:val="006606F3"/>
    <w:rsid w:val="00660A2E"/>
    <w:rsid w:val="006612F5"/>
    <w:rsid w:val="006614E2"/>
    <w:rsid w:val="00661780"/>
    <w:rsid w:val="006619A4"/>
    <w:rsid w:val="00661D02"/>
    <w:rsid w:val="0066287F"/>
    <w:rsid w:val="00662E13"/>
    <w:rsid w:val="00662E86"/>
    <w:rsid w:val="00662F91"/>
    <w:rsid w:val="0066308D"/>
    <w:rsid w:val="00663160"/>
    <w:rsid w:val="00663318"/>
    <w:rsid w:val="006637D4"/>
    <w:rsid w:val="00663DAF"/>
    <w:rsid w:val="0066418E"/>
    <w:rsid w:val="006649B3"/>
    <w:rsid w:val="00664E01"/>
    <w:rsid w:val="0066509A"/>
    <w:rsid w:val="0066586A"/>
    <w:rsid w:val="0066586E"/>
    <w:rsid w:val="00665F3A"/>
    <w:rsid w:val="00665FB0"/>
    <w:rsid w:val="00666271"/>
    <w:rsid w:val="00666733"/>
    <w:rsid w:val="00666896"/>
    <w:rsid w:val="006669AD"/>
    <w:rsid w:val="0066744A"/>
    <w:rsid w:val="00667457"/>
    <w:rsid w:val="00667953"/>
    <w:rsid w:val="00667FC6"/>
    <w:rsid w:val="00670229"/>
    <w:rsid w:val="0067039B"/>
    <w:rsid w:val="006704A8"/>
    <w:rsid w:val="006709E5"/>
    <w:rsid w:val="00670E42"/>
    <w:rsid w:val="0067182F"/>
    <w:rsid w:val="00671B07"/>
    <w:rsid w:val="00671D1A"/>
    <w:rsid w:val="00671E6B"/>
    <w:rsid w:val="00671EB4"/>
    <w:rsid w:val="00672589"/>
    <w:rsid w:val="006728B3"/>
    <w:rsid w:val="0067290F"/>
    <w:rsid w:val="00672CD0"/>
    <w:rsid w:val="00672EDA"/>
    <w:rsid w:val="00673061"/>
    <w:rsid w:val="006731B8"/>
    <w:rsid w:val="0067320A"/>
    <w:rsid w:val="0067322E"/>
    <w:rsid w:val="0067379B"/>
    <w:rsid w:val="00673951"/>
    <w:rsid w:val="00673D05"/>
    <w:rsid w:val="0067468E"/>
    <w:rsid w:val="00674C33"/>
    <w:rsid w:val="00674D6C"/>
    <w:rsid w:val="00675053"/>
    <w:rsid w:val="00675331"/>
    <w:rsid w:val="00675389"/>
    <w:rsid w:val="0067540D"/>
    <w:rsid w:val="00675464"/>
    <w:rsid w:val="006754D8"/>
    <w:rsid w:val="006754FF"/>
    <w:rsid w:val="006757F3"/>
    <w:rsid w:val="00675CC3"/>
    <w:rsid w:val="00675F5E"/>
    <w:rsid w:val="00676017"/>
    <w:rsid w:val="00676037"/>
    <w:rsid w:val="00676584"/>
    <w:rsid w:val="0067679B"/>
    <w:rsid w:val="00676A01"/>
    <w:rsid w:val="00676B16"/>
    <w:rsid w:val="00676CB8"/>
    <w:rsid w:val="00676ED1"/>
    <w:rsid w:val="00677493"/>
    <w:rsid w:val="0067750C"/>
    <w:rsid w:val="0067753A"/>
    <w:rsid w:val="00677C27"/>
    <w:rsid w:val="00677FF8"/>
    <w:rsid w:val="006803A3"/>
    <w:rsid w:val="006809B6"/>
    <w:rsid w:val="00680C18"/>
    <w:rsid w:val="00680FE8"/>
    <w:rsid w:val="0068120A"/>
    <w:rsid w:val="006812E4"/>
    <w:rsid w:val="00681475"/>
    <w:rsid w:val="00681697"/>
    <w:rsid w:val="00681D7D"/>
    <w:rsid w:val="00681E87"/>
    <w:rsid w:val="0068200D"/>
    <w:rsid w:val="006826C2"/>
    <w:rsid w:val="0068287B"/>
    <w:rsid w:val="00682955"/>
    <w:rsid w:val="00682A29"/>
    <w:rsid w:val="00682B6F"/>
    <w:rsid w:val="00682DFA"/>
    <w:rsid w:val="00682F6E"/>
    <w:rsid w:val="00683302"/>
    <w:rsid w:val="0068362A"/>
    <w:rsid w:val="0068366C"/>
    <w:rsid w:val="00683B02"/>
    <w:rsid w:val="00683E43"/>
    <w:rsid w:val="006841AC"/>
    <w:rsid w:val="0068421E"/>
    <w:rsid w:val="00684290"/>
    <w:rsid w:val="00684475"/>
    <w:rsid w:val="0068529B"/>
    <w:rsid w:val="006852F3"/>
    <w:rsid w:val="00685485"/>
    <w:rsid w:val="006854DB"/>
    <w:rsid w:val="0068574F"/>
    <w:rsid w:val="00685794"/>
    <w:rsid w:val="00685978"/>
    <w:rsid w:val="00685A72"/>
    <w:rsid w:val="00685A7D"/>
    <w:rsid w:val="00685B0D"/>
    <w:rsid w:val="00685C09"/>
    <w:rsid w:val="00685FAC"/>
    <w:rsid w:val="00686A41"/>
    <w:rsid w:val="00686BC4"/>
    <w:rsid w:val="00687283"/>
    <w:rsid w:val="00687557"/>
    <w:rsid w:val="00687814"/>
    <w:rsid w:val="006878B7"/>
    <w:rsid w:val="0069014A"/>
    <w:rsid w:val="00690489"/>
    <w:rsid w:val="0069075A"/>
    <w:rsid w:val="0069094B"/>
    <w:rsid w:val="00690A38"/>
    <w:rsid w:val="00690C10"/>
    <w:rsid w:val="0069220A"/>
    <w:rsid w:val="0069224A"/>
    <w:rsid w:val="00692AAF"/>
    <w:rsid w:val="00692C15"/>
    <w:rsid w:val="00692F42"/>
    <w:rsid w:val="00692FC0"/>
    <w:rsid w:val="006931ED"/>
    <w:rsid w:val="006932E2"/>
    <w:rsid w:val="006936D5"/>
    <w:rsid w:val="006937A8"/>
    <w:rsid w:val="00693BE8"/>
    <w:rsid w:val="00693D1F"/>
    <w:rsid w:val="00693DF8"/>
    <w:rsid w:val="00693E4E"/>
    <w:rsid w:val="006945DB"/>
    <w:rsid w:val="00694746"/>
    <w:rsid w:val="00694A88"/>
    <w:rsid w:val="00694B1F"/>
    <w:rsid w:val="00694CB0"/>
    <w:rsid w:val="00694DAC"/>
    <w:rsid w:val="00695355"/>
    <w:rsid w:val="00695982"/>
    <w:rsid w:val="00695B87"/>
    <w:rsid w:val="00695BD3"/>
    <w:rsid w:val="00695C4B"/>
    <w:rsid w:val="00695DAA"/>
    <w:rsid w:val="00695EEC"/>
    <w:rsid w:val="00695EFF"/>
    <w:rsid w:val="00695F86"/>
    <w:rsid w:val="0069647B"/>
    <w:rsid w:val="006969DE"/>
    <w:rsid w:val="00696D0D"/>
    <w:rsid w:val="00696DE3"/>
    <w:rsid w:val="00696E4C"/>
    <w:rsid w:val="00696FC0"/>
    <w:rsid w:val="006979B1"/>
    <w:rsid w:val="00697B48"/>
    <w:rsid w:val="006A056E"/>
    <w:rsid w:val="006A05AC"/>
    <w:rsid w:val="006A09CF"/>
    <w:rsid w:val="006A0A1A"/>
    <w:rsid w:val="006A0E8C"/>
    <w:rsid w:val="006A114E"/>
    <w:rsid w:val="006A11B1"/>
    <w:rsid w:val="006A1237"/>
    <w:rsid w:val="006A1761"/>
    <w:rsid w:val="006A1C94"/>
    <w:rsid w:val="006A1ED5"/>
    <w:rsid w:val="006A1FA3"/>
    <w:rsid w:val="006A23AA"/>
    <w:rsid w:val="006A2623"/>
    <w:rsid w:val="006A2974"/>
    <w:rsid w:val="006A2FEC"/>
    <w:rsid w:val="006A3177"/>
    <w:rsid w:val="006A31CC"/>
    <w:rsid w:val="006A365A"/>
    <w:rsid w:val="006A3EF6"/>
    <w:rsid w:val="006A3FF9"/>
    <w:rsid w:val="006A4040"/>
    <w:rsid w:val="006A4181"/>
    <w:rsid w:val="006A4267"/>
    <w:rsid w:val="006A43B9"/>
    <w:rsid w:val="006A4665"/>
    <w:rsid w:val="006A4DB1"/>
    <w:rsid w:val="006A4ECC"/>
    <w:rsid w:val="006A4EEE"/>
    <w:rsid w:val="006A4F1F"/>
    <w:rsid w:val="006A5003"/>
    <w:rsid w:val="006A52E5"/>
    <w:rsid w:val="006A56DF"/>
    <w:rsid w:val="006A56EC"/>
    <w:rsid w:val="006A57B6"/>
    <w:rsid w:val="006A5A83"/>
    <w:rsid w:val="006A5C96"/>
    <w:rsid w:val="006A5E5A"/>
    <w:rsid w:val="006A5F50"/>
    <w:rsid w:val="006A5FE2"/>
    <w:rsid w:val="006A6A5E"/>
    <w:rsid w:val="006A6AF2"/>
    <w:rsid w:val="006A6B79"/>
    <w:rsid w:val="006A707E"/>
    <w:rsid w:val="006A773E"/>
    <w:rsid w:val="006B0244"/>
    <w:rsid w:val="006B0351"/>
    <w:rsid w:val="006B0801"/>
    <w:rsid w:val="006B0FC6"/>
    <w:rsid w:val="006B10C1"/>
    <w:rsid w:val="006B13CA"/>
    <w:rsid w:val="006B1501"/>
    <w:rsid w:val="006B1769"/>
    <w:rsid w:val="006B1C50"/>
    <w:rsid w:val="006B1FF1"/>
    <w:rsid w:val="006B20C1"/>
    <w:rsid w:val="006B2358"/>
    <w:rsid w:val="006B24E0"/>
    <w:rsid w:val="006B2527"/>
    <w:rsid w:val="006B2CF9"/>
    <w:rsid w:val="006B2D1A"/>
    <w:rsid w:val="006B2DD1"/>
    <w:rsid w:val="006B3673"/>
    <w:rsid w:val="006B3925"/>
    <w:rsid w:val="006B39DE"/>
    <w:rsid w:val="006B3A46"/>
    <w:rsid w:val="006B40DE"/>
    <w:rsid w:val="006B4378"/>
    <w:rsid w:val="006B43A5"/>
    <w:rsid w:val="006B45E2"/>
    <w:rsid w:val="006B468F"/>
    <w:rsid w:val="006B4823"/>
    <w:rsid w:val="006B4BD7"/>
    <w:rsid w:val="006B4BF8"/>
    <w:rsid w:val="006B4EBA"/>
    <w:rsid w:val="006B53A5"/>
    <w:rsid w:val="006B553D"/>
    <w:rsid w:val="006B55D5"/>
    <w:rsid w:val="006B5796"/>
    <w:rsid w:val="006B57F9"/>
    <w:rsid w:val="006B5C89"/>
    <w:rsid w:val="006B5E40"/>
    <w:rsid w:val="006B5F27"/>
    <w:rsid w:val="006B5FBA"/>
    <w:rsid w:val="006B6AD5"/>
    <w:rsid w:val="006B7016"/>
    <w:rsid w:val="006B711F"/>
    <w:rsid w:val="006B744C"/>
    <w:rsid w:val="006C04D0"/>
    <w:rsid w:val="006C06A1"/>
    <w:rsid w:val="006C0824"/>
    <w:rsid w:val="006C0960"/>
    <w:rsid w:val="006C0A39"/>
    <w:rsid w:val="006C0D46"/>
    <w:rsid w:val="006C0FA4"/>
    <w:rsid w:val="006C11F2"/>
    <w:rsid w:val="006C1272"/>
    <w:rsid w:val="006C1292"/>
    <w:rsid w:val="006C16EB"/>
    <w:rsid w:val="006C1A88"/>
    <w:rsid w:val="006C1C6D"/>
    <w:rsid w:val="006C33CB"/>
    <w:rsid w:val="006C3402"/>
    <w:rsid w:val="006C35CE"/>
    <w:rsid w:val="006C3878"/>
    <w:rsid w:val="006C3AC8"/>
    <w:rsid w:val="006C3DA9"/>
    <w:rsid w:val="006C3DCA"/>
    <w:rsid w:val="006C41EE"/>
    <w:rsid w:val="006C48B4"/>
    <w:rsid w:val="006C4986"/>
    <w:rsid w:val="006C4A03"/>
    <w:rsid w:val="006C4E08"/>
    <w:rsid w:val="006C4F54"/>
    <w:rsid w:val="006C50CD"/>
    <w:rsid w:val="006C54D6"/>
    <w:rsid w:val="006C6B1F"/>
    <w:rsid w:val="006C7594"/>
    <w:rsid w:val="006C7775"/>
    <w:rsid w:val="006C779D"/>
    <w:rsid w:val="006C7914"/>
    <w:rsid w:val="006C7BFA"/>
    <w:rsid w:val="006C7FC1"/>
    <w:rsid w:val="006D02FF"/>
    <w:rsid w:val="006D062C"/>
    <w:rsid w:val="006D09E5"/>
    <w:rsid w:val="006D0C64"/>
    <w:rsid w:val="006D0CFD"/>
    <w:rsid w:val="006D0EB3"/>
    <w:rsid w:val="006D0ED3"/>
    <w:rsid w:val="006D0FCC"/>
    <w:rsid w:val="006D12B7"/>
    <w:rsid w:val="006D1569"/>
    <w:rsid w:val="006D1E2C"/>
    <w:rsid w:val="006D1FD2"/>
    <w:rsid w:val="006D261B"/>
    <w:rsid w:val="006D2A4F"/>
    <w:rsid w:val="006D2B34"/>
    <w:rsid w:val="006D2C84"/>
    <w:rsid w:val="006D30C8"/>
    <w:rsid w:val="006D3561"/>
    <w:rsid w:val="006D3800"/>
    <w:rsid w:val="006D3804"/>
    <w:rsid w:val="006D3A03"/>
    <w:rsid w:val="006D3E88"/>
    <w:rsid w:val="006D424E"/>
    <w:rsid w:val="006D4648"/>
    <w:rsid w:val="006D4650"/>
    <w:rsid w:val="006D514A"/>
    <w:rsid w:val="006D519E"/>
    <w:rsid w:val="006D536B"/>
    <w:rsid w:val="006D54C0"/>
    <w:rsid w:val="006D55EA"/>
    <w:rsid w:val="006D5882"/>
    <w:rsid w:val="006D5F5D"/>
    <w:rsid w:val="006D7263"/>
    <w:rsid w:val="006D731D"/>
    <w:rsid w:val="006D7C5C"/>
    <w:rsid w:val="006D7C9A"/>
    <w:rsid w:val="006D7DCC"/>
    <w:rsid w:val="006E0224"/>
    <w:rsid w:val="006E0490"/>
    <w:rsid w:val="006E06FA"/>
    <w:rsid w:val="006E0B27"/>
    <w:rsid w:val="006E1135"/>
    <w:rsid w:val="006E1D4B"/>
    <w:rsid w:val="006E1D7F"/>
    <w:rsid w:val="006E1DCE"/>
    <w:rsid w:val="006E1E86"/>
    <w:rsid w:val="006E211F"/>
    <w:rsid w:val="006E259B"/>
    <w:rsid w:val="006E264C"/>
    <w:rsid w:val="006E27C4"/>
    <w:rsid w:val="006E2933"/>
    <w:rsid w:val="006E2BDD"/>
    <w:rsid w:val="006E303D"/>
    <w:rsid w:val="006E3513"/>
    <w:rsid w:val="006E360A"/>
    <w:rsid w:val="006E3D77"/>
    <w:rsid w:val="006E4054"/>
    <w:rsid w:val="006E45A6"/>
    <w:rsid w:val="006E45AE"/>
    <w:rsid w:val="006E4C4F"/>
    <w:rsid w:val="006E4CF9"/>
    <w:rsid w:val="006E504A"/>
    <w:rsid w:val="006E51F3"/>
    <w:rsid w:val="006E5472"/>
    <w:rsid w:val="006E573E"/>
    <w:rsid w:val="006E5939"/>
    <w:rsid w:val="006E5AED"/>
    <w:rsid w:val="006E5CA9"/>
    <w:rsid w:val="006E5F3C"/>
    <w:rsid w:val="006E5FC3"/>
    <w:rsid w:val="006E623E"/>
    <w:rsid w:val="006E636C"/>
    <w:rsid w:val="006E6752"/>
    <w:rsid w:val="006E68A4"/>
    <w:rsid w:val="006E7052"/>
    <w:rsid w:val="006E72E9"/>
    <w:rsid w:val="006E73DF"/>
    <w:rsid w:val="006E7401"/>
    <w:rsid w:val="006E75E2"/>
    <w:rsid w:val="006E79F9"/>
    <w:rsid w:val="006E7A27"/>
    <w:rsid w:val="006E7A43"/>
    <w:rsid w:val="006E7B8A"/>
    <w:rsid w:val="006F02E0"/>
    <w:rsid w:val="006F066F"/>
    <w:rsid w:val="006F070D"/>
    <w:rsid w:val="006F07A4"/>
    <w:rsid w:val="006F0857"/>
    <w:rsid w:val="006F0956"/>
    <w:rsid w:val="006F0F10"/>
    <w:rsid w:val="006F0F96"/>
    <w:rsid w:val="006F1154"/>
    <w:rsid w:val="006F1190"/>
    <w:rsid w:val="006F11D0"/>
    <w:rsid w:val="006F1425"/>
    <w:rsid w:val="006F1809"/>
    <w:rsid w:val="006F1C78"/>
    <w:rsid w:val="006F1EC1"/>
    <w:rsid w:val="006F2211"/>
    <w:rsid w:val="006F263C"/>
    <w:rsid w:val="006F2698"/>
    <w:rsid w:val="006F270D"/>
    <w:rsid w:val="006F2888"/>
    <w:rsid w:val="006F2FAE"/>
    <w:rsid w:val="006F311D"/>
    <w:rsid w:val="006F315B"/>
    <w:rsid w:val="006F3272"/>
    <w:rsid w:val="006F32EB"/>
    <w:rsid w:val="006F37FC"/>
    <w:rsid w:val="006F3CD6"/>
    <w:rsid w:val="006F3EDC"/>
    <w:rsid w:val="006F4220"/>
    <w:rsid w:val="006F4D30"/>
    <w:rsid w:val="006F503B"/>
    <w:rsid w:val="006F5397"/>
    <w:rsid w:val="006F54F8"/>
    <w:rsid w:val="006F5718"/>
    <w:rsid w:val="006F6014"/>
    <w:rsid w:val="006F63C8"/>
    <w:rsid w:val="006F675F"/>
    <w:rsid w:val="006F67D4"/>
    <w:rsid w:val="006F68BD"/>
    <w:rsid w:val="006F6931"/>
    <w:rsid w:val="006F69DC"/>
    <w:rsid w:val="006F6C74"/>
    <w:rsid w:val="006F6CEE"/>
    <w:rsid w:val="006F6E10"/>
    <w:rsid w:val="006F7440"/>
    <w:rsid w:val="0070006B"/>
    <w:rsid w:val="007004AC"/>
    <w:rsid w:val="00700501"/>
    <w:rsid w:val="00700717"/>
    <w:rsid w:val="00700B32"/>
    <w:rsid w:val="0070169A"/>
    <w:rsid w:val="00701822"/>
    <w:rsid w:val="007021BE"/>
    <w:rsid w:val="007021DF"/>
    <w:rsid w:val="007026B9"/>
    <w:rsid w:val="00702B26"/>
    <w:rsid w:val="00702C2A"/>
    <w:rsid w:val="00702E4D"/>
    <w:rsid w:val="00703011"/>
    <w:rsid w:val="007030B6"/>
    <w:rsid w:val="0070362E"/>
    <w:rsid w:val="00703FFD"/>
    <w:rsid w:val="00704074"/>
    <w:rsid w:val="0070462A"/>
    <w:rsid w:val="00704902"/>
    <w:rsid w:val="00705428"/>
    <w:rsid w:val="007054F2"/>
    <w:rsid w:val="00705552"/>
    <w:rsid w:val="00705BC1"/>
    <w:rsid w:val="00705C9B"/>
    <w:rsid w:val="00706522"/>
    <w:rsid w:val="0070655D"/>
    <w:rsid w:val="007066F0"/>
    <w:rsid w:val="0070673B"/>
    <w:rsid w:val="0070684A"/>
    <w:rsid w:val="00706BC1"/>
    <w:rsid w:val="00706C04"/>
    <w:rsid w:val="00706DEF"/>
    <w:rsid w:val="00706E4C"/>
    <w:rsid w:val="00707318"/>
    <w:rsid w:val="00707382"/>
    <w:rsid w:val="0070786C"/>
    <w:rsid w:val="00707959"/>
    <w:rsid w:val="00707D67"/>
    <w:rsid w:val="00707DC2"/>
    <w:rsid w:val="007104F9"/>
    <w:rsid w:val="00710A73"/>
    <w:rsid w:val="00710CE5"/>
    <w:rsid w:val="00710E57"/>
    <w:rsid w:val="00710EE6"/>
    <w:rsid w:val="007110C0"/>
    <w:rsid w:val="00711290"/>
    <w:rsid w:val="007114E9"/>
    <w:rsid w:val="0071162D"/>
    <w:rsid w:val="007116B8"/>
    <w:rsid w:val="0071184C"/>
    <w:rsid w:val="00711854"/>
    <w:rsid w:val="0071203E"/>
    <w:rsid w:val="00712265"/>
    <w:rsid w:val="00712300"/>
    <w:rsid w:val="00712344"/>
    <w:rsid w:val="00713033"/>
    <w:rsid w:val="007132BD"/>
    <w:rsid w:val="007137C5"/>
    <w:rsid w:val="00713843"/>
    <w:rsid w:val="00713BF7"/>
    <w:rsid w:val="0071424A"/>
    <w:rsid w:val="0071430A"/>
    <w:rsid w:val="00714A72"/>
    <w:rsid w:val="00714FAA"/>
    <w:rsid w:val="00715611"/>
    <w:rsid w:val="0071573D"/>
    <w:rsid w:val="00715788"/>
    <w:rsid w:val="00715A53"/>
    <w:rsid w:val="00715B74"/>
    <w:rsid w:val="00715CBB"/>
    <w:rsid w:val="00715F4F"/>
    <w:rsid w:val="00716016"/>
    <w:rsid w:val="007160B2"/>
    <w:rsid w:val="00716263"/>
    <w:rsid w:val="00716443"/>
    <w:rsid w:val="007171EE"/>
    <w:rsid w:val="00717379"/>
    <w:rsid w:val="007179F5"/>
    <w:rsid w:val="00717E52"/>
    <w:rsid w:val="00720667"/>
    <w:rsid w:val="0072068C"/>
    <w:rsid w:val="00720AFF"/>
    <w:rsid w:val="00720E20"/>
    <w:rsid w:val="0072110E"/>
    <w:rsid w:val="0072157E"/>
    <w:rsid w:val="0072158E"/>
    <w:rsid w:val="007218F3"/>
    <w:rsid w:val="00721937"/>
    <w:rsid w:val="00721C9D"/>
    <w:rsid w:val="00721E16"/>
    <w:rsid w:val="007222B2"/>
    <w:rsid w:val="00722802"/>
    <w:rsid w:val="00722814"/>
    <w:rsid w:val="00722BBD"/>
    <w:rsid w:val="00723622"/>
    <w:rsid w:val="00723999"/>
    <w:rsid w:val="00723ADE"/>
    <w:rsid w:val="00723B13"/>
    <w:rsid w:val="00724BE7"/>
    <w:rsid w:val="00724D0A"/>
    <w:rsid w:val="00724F28"/>
    <w:rsid w:val="007252B9"/>
    <w:rsid w:val="00725312"/>
    <w:rsid w:val="00725569"/>
    <w:rsid w:val="00725DF7"/>
    <w:rsid w:val="00725F6E"/>
    <w:rsid w:val="00726404"/>
    <w:rsid w:val="007266B3"/>
    <w:rsid w:val="00726E52"/>
    <w:rsid w:val="007272EB"/>
    <w:rsid w:val="0072774B"/>
    <w:rsid w:val="00727AA4"/>
    <w:rsid w:val="007303AF"/>
    <w:rsid w:val="007303F0"/>
    <w:rsid w:val="00730986"/>
    <w:rsid w:val="00730CC3"/>
    <w:rsid w:val="0073115A"/>
    <w:rsid w:val="007311E3"/>
    <w:rsid w:val="0073126B"/>
    <w:rsid w:val="007312C8"/>
    <w:rsid w:val="007316F1"/>
    <w:rsid w:val="00732007"/>
    <w:rsid w:val="007321E7"/>
    <w:rsid w:val="00732610"/>
    <w:rsid w:val="0073275B"/>
    <w:rsid w:val="007327D5"/>
    <w:rsid w:val="00732BD5"/>
    <w:rsid w:val="00732D49"/>
    <w:rsid w:val="00733112"/>
    <w:rsid w:val="00733A88"/>
    <w:rsid w:val="00733E7C"/>
    <w:rsid w:val="00734328"/>
    <w:rsid w:val="00734459"/>
    <w:rsid w:val="007349F1"/>
    <w:rsid w:val="00734DA3"/>
    <w:rsid w:val="007352BA"/>
    <w:rsid w:val="007353CD"/>
    <w:rsid w:val="007357B1"/>
    <w:rsid w:val="00735E1E"/>
    <w:rsid w:val="00736A28"/>
    <w:rsid w:val="00736B9B"/>
    <w:rsid w:val="00736EEE"/>
    <w:rsid w:val="00736F29"/>
    <w:rsid w:val="00736F42"/>
    <w:rsid w:val="00737234"/>
    <w:rsid w:val="00737AF9"/>
    <w:rsid w:val="00737EBD"/>
    <w:rsid w:val="00737ECE"/>
    <w:rsid w:val="0074079E"/>
    <w:rsid w:val="00740C39"/>
    <w:rsid w:val="00740CBC"/>
    <w:rsid w:val="00740D25"/>
    <w:rsid w:val="00740D8E"/>
    <w:rsid w:val="00741548"/>
    <w:rsid w:val="0074159E"/>
    <w:rsid w:val="007415BF"/>
    <w:rsid w:val="007416DF"/>
    <w:rsid w:val="00741A45"/>
    <w:rsid w:val="00741B38"/>
    <w:rsid w:val="00741B3F"/>
    <w:rsid w:val="007420FB"/>
    <w:rsid w:val="00742A5D"/>
    <w:rsid w:val="00742B42"/>
    <w:rsid w:val="00742ED7"/>
    <w:rsid w:val="007431AD"/>
    <w:rsid w:val="00743314"/>
    <w:rsid w:val="007435F2"/>
    <w:rsid w:val="0074362F"/>
    <w:rsid w:val="00743A49"/>
    <w:rsid w:val="00743C53"/>
    <w:rsid w:val="00743F6A"/>
    <w:rsid w:val="00744186"/>
    <w:rsid w:val="0074458A"/>
    <w:rsid w:val="00744656"/>
    <w:rsid w:val="007447C1"/>
    <w:rsid w:val="0074492F"/>
    <w:rsid w:val="00744A55"/>
    <w:rsid w:val="00744DE6"/>
    <w:rsid w:val="00744EC5"/>
    <w:rsid w:val="00745216"/>
    <w:rsid w:val="007458AD"/>
    <w:rsid w:val="00746028"/>
    <w:rsid w:val="007460D9"/>
    <w:rsid w:val="00746765"/>
    <w:rsid w:val="007467FB"/>
    <w:rsid w:val="007469AC"/>
    <w:rsid w:val="00746A50"/>
    <w:rsid w:val="00746BAB"/>
    <w:rsid w:val="00746DF1"/>
    <w:rsid w:val="00746E21"/>
    <w:rsid w:val="00746E75"/>
    <w:rsid w:val="00747324"/>
    <w:rsid w:val="0074770C"/>
    <w:rsid w:val="007479CD"/>
    <w:rsid w:val="007479D9"/>
    <w:rsid w:val="00747BB9"/>
    <w:rsid w:val="00747E0C"/>
    <w:rsid w:val="00747F2C"/>
    <w:rsid w:val="007501D6"/>
    <w:rsid w:val="00750676"/>
    <w:rsid w:val="007507FA"/>
    <w:rsid w:val="00750E92"/>
    <w:rsid w:val="00751E2A"/>
    <w:rsid w:val="0075226B"/>
    <w:rsid w:val="007524E0"/>
    <w:rsid w:val="00752683"/>
    <w:rsid w:val="0075289C"/>
    <w:rsid w:val="00752D76"/>
    <w:rsid w:val="0075369B"/>
    <w:rsid w:val="0075453B"/>
    <w:rsid w:val="00754636"/>
    <w:rsid w:val="007548C0"/>
    <w:rsid w:val="00754ACC"/>
    <w:rsid w:val="00754C98"/>
    <w:rsid w:val="00754E15"/>
    <w:rsid w:val="0075514F"/>
    <w:rsid w:val="007551C9"/>
    <w:rsid w:val="007556CD"/>
    <w:rsid w:val="007559BA"/>
    <w:rsid w:val="0075608B"/>
    <w:rsid w:val="00756202"/>
    <w:rsid w:val="007565B0"/>
    <w:rsid w:val="007565BB"/>
    <w:rsid w:val="00757083"/>
    <w:rsid w:val="00757249"/>
    <w:rsid w:val="00757849"/>
    <w:rsid w:val="007579D9"/>
    <w:rsid w:val="00757CFA"/>
    <w:rsid w:val="00757E8B"/>
    <w:rsid w:val="007602D1"/>
    <w:rsid w:val="0076074D"/>
    <w:rsid w:val="007607F0"/>
    <w:rsid w:val="00760EDB"/>
    <w:rsid w:val="00760EED"/>
    <w:rsid w:val="007610B1"/>
    <w:rsid w:val="007611F9"/>
    <w:rsid w:val="007613FA"/>
    <w:rsid w:val="0076149E"/>
    <w:rsid w:val="00761630"/>
    <w:rsid w:val="0076183E"/>
    <w:rsid w:val="007618C8"/>
    <w:rsid w:val="007622CB"/>
    <w:rsid w:val="00762886"/>
    <w:rsid w:val="00762B8E"/>
    <w:rsid w:val="00762E0D"/>
    <w:rsid w:val="00762E1D"/>
    <w:rsid w:val="00762F60"/>
    <w:rsid w:val="00763156"/>
    <w:rsid w:val="0076361E"/>
    <w:rsid w:val="00763653"/>
    <w:rsid w:val="00763971"/>
    <w:rsid w:val="00763CDB"/>
    <w:rsid w:val="00763F4D"/>
    <w:rsid w:val="00764569"/>
    <w:rsid w:val="0076477A"/>
    <w:rsid w:val="00764C4F"/>
    <w:rsid w:val="00764F5C"/>
    <w:rsid w:val="0076520A"/>
    <w:rsid w:val="00765909"/>
    <w:rsid w:val="00765C2F"/>
    <w:rsid w:val="00765D5D"/>
    <w:rsid w:val="00766596"/>
    <w:rsid w:val="0076678C"/>
    <w:rsid w:val="007667BB"/>
    <w:rsid w:val="00766BFF"/>
    <w:rsid w:val="00766DD6"/>
    <w:rsid w:val="00766F55"/>
    <w:rsid w:val="0076717F"/>
    <w:rsid w:val="00767205"/>
    <w:rsid w:val="007672A2"/>
    <w:rsid w:val="007673E3"/>
    <w:rsid w:val="007678D0"/>
    <w:rsid w:val="00767919"/>
    <w:rsid w:val="00767AFE"/>
    <w:rsid w:val="00767B0B"/>
    <w:rsid w:val="00767FC8"/>
    <w:rsid w:val="00767FDE"/>
    <w:rsid w:val="0077021C"/>
    <w:rsid w:val="00770435"/>
    <w:rsid w:val="0077046B"/>
    <w:rsid w:val="00770479"/>
    <w:rsid w:val="007708F9"/>
    <w:rsid w:val="00770D77"/>
    <w:rsid w:val="00771102"/>
    <w:rsid w:val="007713B9"/>
    <w:rsid w:val="00771553"/>
    <w:rsid w:val="00771C42"/>
    <w:rsid w:val="007726C5"/>
    <w:rsid w:val="007732E7"/>
    <w:rsid w:val="0077356D"/>
    <w:rsid w:val="00774044"/>
    <w:rsid w:val="0077411C"/>
    <w:rsid w:val="00774151"/>
    <w:rsid w:val="007741FB"/>
    <w:rsid w:val="00774319"/>
    <w:rsid w:val="00774479"/>
    <w:rsid w:val="007745BD"/>
    <w:rsid w:val="00774A92"/>
    <w:rsid w:val="0077575D"/>
    <w:rsid w:val="00775C03"/>
    <w:rsid w:val="00776762"/>
    <w:rsid w:val="007769FC"/>
    <w:rsid w:val="00776A26"/>
    <w:rsid w:val="00776B78"/>
    <w:rsid w:val="00776CA9"/>
    <w:rsid w:val="00776E67"/>
    <w:rsid w:val="00777179"/>
    <w:rsid w:val="007775DF"/>
    <w:rsid w:val="00780384"/>
    <w:rsid w:val="00780D39"/>
    <w:rsid w:val="00780E8D"/>
    <w:rsid w:val="00780EE4"/>
    <w:rsid w:val="00781239"/>
    <w:rsid w:val="00781BA9"/>
    <w:rsid w:val="00781BFE"/>
    <w:rsid w:val="00781C7A"/>
    <w:rsid w:val="00781DB1"/>
    <w:rsid w:val="007821EB"/>
    <w:rsid w:val="00782299"/>
    <w:rsid w:val="007824A4"/>
    <w:rsid w:val="00782C7C"/>
    <w:rsid w:val="00782E04"/>
    <w:rsid w:val="00782F9F"/>
    <w:rsid w:val="00783032"/>
    <w:rsid w:val="007831F6"/>
    <w:rsid w:val="0078383F"/>
    <w:rsid w:val="0078399C"/>
    <w:rsid w:val="00784098"/>
    <w:rsid w:val="00784677"/>
    <w:rsid w:val="00784A2D"/>
    <w:rsid w:val="00784C15"/>
    <w:rsid w:val="00785260"/>
    <w:rsid w:val="0078527C"/>
    <w:rsid w:val="007859C1"/>
    <w:rsid w:val="00785B88"/>
    <w:rsid w:val="007861C5"/>
    <w:rsid w:val="0078629B"/>
    <w:rsid w:val="007864F6"/>
    <w:rsid w:val="00786571"/>
    <w:rsid w:val="00786595"/>
    <w:rsid w:val="0078675A"/>
    <w:rsid w:val="00786858"/>
    <w:rsid w:val="00786E04"/>
    <w:rsid w:val="00787597"/>
    <w:rsid w:val="00787747"/>
    <w:rsid w:val="007879BC"/>
    <w:rsid w:val="007901FE"/>
    <w:rsid w:val="007902D7"/>
    <w:rsid w:val="00790326"/>
    <w:rsid w:val="00790689"/>
    <w:rsid w:val="0079091A"/>
    <w:rsid w:val="0079110F"/>
    <w:rsid w:val="0079155F"/>
    <w:rsid w:val="00791602"/>
    <w:rsid w:val="0079163C"/>
    <w:rsid w:val="00791703"/>
    <w:rsid w:val="00791A4B"/>
    <w:rsid w:val="00791A8B"/>
    <w:rsid w:val="00791C32"/>
    <w:rsid w:val="00792459"/>
    <w:rsid w:val="00792B06"/>
    <w:rsid w:val="00792D6E"/>
    <w:rsid w:val="00792DDB"/>
    <w:rsid w:val="007930DA"/>
    <w:rsid w:val="00793441"/>
    <w:rsid w:val="0079345C"/>
    <w:rsid w:val="007935AD"/>
    <w:rsid w:val="00793A72"/>
    <w:rsid w:val="00793F02"/>
    <w:rsid w:val="00794534"/>
    <w:rsid w:val="007948A0"/>
    <w:rsid w:val="00794A4A"/>
    <w:rsid w:val="00794B04"/>
    <w:rsid w:val="00794CE9"/>
    <w:rsid w:val="00794D97"/>
    <w:rsid w:val="00794E3C"/>
    <w:rsid w:val="00794EB0"/>
    <w:rsid w:val="00795393"/>
    <w:rsid w:val="0079544F"/>
    <w:rsid w:val="007957B4"/>
    <w:rsid w:val="00795860"/>
    <w:rsid w:val="007958E5"/>
    <w:rsid w:val="007962A0"/>
    <w:rsid w:val="007966CE"/>
    <w:rsid w:val="007969A9"/>
    <w:rsid w:val="00796FBE"/>
    <w:rsid w:val="0079708B"/>
    <w:rsid w:val="0079745D"/>
    <w:rsid w:val="007975BF"/>
    <w:rsid w:val="00797775"/>
    <w:rsid w:val="00797977"/>
    <w:rsid w:val="007A02CE"/>
    <w:rsid w:val="007A0A44"/>
    <w:rsid w:val="007A0ABA"/>
    <w:rsid w:val="007A10AD"/>
    <w:rsid w:val="007A1271"/>
    <w:rsid w:val="007A139C"/>
    <w:rsid w:val="007A1457"/>
    <w:rsid w:val="007A1523"/>
    <w:rsid w:val="007A1C4B"/>
    <w:rsid w:val="007A1E74"/>
    <w:rsid w:val="007A208B"/>
    <w:rsid w:val="007A21C3"/>
    <w:rsid w:val="007A2336"/>
    <w:rsid w:val="007A25D5"/>
    <w:rsid w:val="007A29B2"/>
    <w:rsid w:val="007A2EBD"/>
    <w:rsid w:val="007A2FBD"/>
    <w:rsid w:val="007A323F"/>
    <w:rsid w:val="007A37AD"/>
    <w:rsid w:val="007A3D45"/>
    <w:rsid w:val="007A3E49"/>
    <w:rsid w:val="007A4377"/>
    <w:rsid w:val="007A4582"/>
    <w:rsid w:val="007A471B"/>
    <w:rsid w:val="007A4915"/>
    <w:rsid w:val="007A4BE0"/>
    <w:rsid w:val="007A4C3D"/>
    <w:rsid w:val="007A50C4"/>
    <w:rsid w:val="007A50F6"/>
    <w:rsid w:val="007A544C"/>
    <w:rsid w:val="007A5C6B"/>
    <w:rsid w:val="007A5CFE"/>
    <w:rsid w:val="007A5EB5"/>
    <w:rsid w:val="007A638D"/>
    <w:rsid w:val="007A639A"/>
    <w:rsid w:val="007A6A47"/>
    <w:rsid w:val="007A6C2A"/>
    <w:rsid w:val="007A6CD2"/>
    <w:rsid w:val="007A6DF0"/>
    <w:rsid w:val="007A74DE"/>
    <w:rsid w:val="007A7C10"/>
    <w:rsid w:val="007B0260"/>
    <w:rsid w:val="007B02DC"/>
    <w:rsid w:val="007B04C8"/>
    <w:rsid w:val="007B085A"/>
    <w:rsid w:val="007B085B"/>
    <w:rsid w:val="007B0867"/>
    <w:rsid w:val="007B09F4"/>
    <w:rsid w:val="007B0AB3"/>
    <w:rsid w:val="007B10D9"/>
    <w:rsid w:val="007B1674"/>
    <w:rsid w:val="007B17A3"/>
    <w:rsid w:val="007B1B69"/>
    <w:rsid w:val="007B1D48"/>
    <w:rsid w:val="007B23C7"/>
    <w:rsid w:val="007B2502"/>
    <w:rsid w:val="007B301D"/>
    <w:rsid w:val="007B3114"/>
    <w:rsid w:val="007B3674"/>
    <w:rsid w:val="007B3A8B"/>
    <w:rsid w:val="007B3C92"/>
    <w:rsid w:val="007B3CEC"/>
    <w:rsid w:val="007B46F4"/>
    <w:rsid w:val="007B4CD9"/>
    <w:rsid w:val="007B4F68"/>
    <w:rsid w:val="007B51E0"/>
    <w:rsid w:val="007B5648"/>
    <w:rsid w:val="007B5654"/>
    <w:rsid w:val="007B56CC"/>
    <w:rsid w:val="007B5785"/>
    <w:rsid w:val="007B5ADA"/>
    <w:rsid w:val="007B5D1E"/>
    <w:rsid w:val="007B6262"/>
    <w:rsid w:val="007B63B9"/>
    <w:rsid w:val="007B67DE"/>
    <w:rsid w:val="007B6813"/>
    <w:rsid w:val="007B69CA"/>
    <w:rsid w:val="007B70AB"/>
    <w:rsid w:val="007B72BE"/>
    <w:rsid w:val="007B74CF"/>
    <w:rsid w:val="007B7791"/>
    <w:rsid w:val="007B7BF0"/>
    <w:rsid w:val="007C030A"/>
    <w:rsid w:val="007C0385"/>
    <w:rsid w:val="007C0389"/>
    <w:rsid w:val="007C0695"/>
    <w:rsid w:val="007C06D8"/>
    <w:rsid w:val="007C09F9"/>
    <w:rsid w:val="007C114F"/>
    <w:rsid w:val="007C1430"/>
    <w:rsid w:val="007C19EA"/>
    <w:rsid w:val="007C1ACF"/>
    <w:rsid w:val="007C24EF"/>
    <w:rsid w:val="007C2C86"/>
    <w:rsid w:val="007C2D33"/>
    <w:rsid w:val="007C31FD"/>
    <w:rsid w:val="007C3310"/>
    <w:rsid w:val="007C3449"/>
    <w:rsid w:val="007C34B7"/>
    <w:rsid w:val="007C4117"/>
    <w:rsid w:val="007C4286"/>
    <w:rsid w:val="007C4288"/>
    <w:rsid w:val="007C43DE"/>
    <w:rsid w:val="007C46A5"/>
    <w:rsid w:val="007C4B05"/>
    <w:rsid w:val="007C4DC8"/>
    <w:rsid w:val="007C52C5"/>
    <w:rsid w:val="007C574C"/>
    <w:rsid w:val="007C5C16"/>
    <w:rsid w:val="007C60E9"/>
    <w:rsid w:val="007C641C"/>
    <w:rsid w:val="007C694B"/>
    <w:rsid w:val="007C6D2C"/>
    <w:rsid w:val="007C74BC"/>
    <w:rsid w:val="007C7AB9"/>
    <w:rsid w:val="007C7B4A"/>
    <w:rsid w:val="007C7B83"/>
    <w:rsid w:val="007C7C55"/>
    <w:rsid w:val="007C7DCA"/>
    <w:rsid w:val="007D01F4"/>
    <w:rsid w:val="007D0D00"/>
    <w:rsid w:val="007D1131"/>
    <w:rsid w:val="007D1336"/>
    <w:rsid w:val="007D1A86"/>
    <w:rsid w:val="007D216D"/>
    <w:rsid w:val="007D25A3"/>
    <w:rsid w:val="007D2640"/>
    <w:rsid w:val="007D2A0D"/>
    <w:rsid w:val="007D2A64"/>
    <w:rsid w:val="007D2BE3"/>
    <w:rsid w:val="007D35A5"/>
    <w:rsid w:val="007D381A"/>
    <w:rsid w:val="007D3E24"/>
    <w:rsid w:val="007D4331"/>
    <w:rsid w:val="007D44EE"/>
    <w:rsid w:val="007D4764"/>
    <w:rsid w:val="007D4B02"/>
    <w:rsid w:val="007D4D16"/>
    <w:rsid w:val="007D4D7B"/>
    <w:rsid w:val="007D4DED"/>
    <w:rsid w:val="007D5218"/>
    <w:rsid w:val="007D6656"/>
    <w:rsid w:val="007D66A7"/>
    <w:rsid w:val="007D6857"/>
    <w:rsid w:val="007D71E9"/>
    <w:rsid w:val="007D72BD"/>
    <w:rsid w:val="007D75B5"/>
    <w:rsid w:val="007D7AF7"/>
    <w:rsid w:val="007D7F55"/>
    <w:rsid w:val="007E05C6"/>
    <w:rsid w:val="007E089A"/>
    <w:rsid w:val="007E0D08"/>
    <w:rsid w:val="007E0FB3"/>
    <w:rsid w:val="007E12DA"/>
    <w:rsid w:val="007E151A"/>
    <w:rsid w:val="007E1882"/>
    <w:rsid w:val="007E1C2D"/>
    <w:rsid w:val="007E1E16"/>
    <w:rsid w:val="007E1FB1"/>
    <w:rsid w:val="007E2202"/>
    <w:rsid w:val="007E25FF"/>
    <w:rsid w:val="007E2867"/>
    <w:rsid w:val="007E2ACA"/>
    <w:rsid w:val="007E30B5"/>
    <w:rsid w:val="007E3258"/>
    <w:rsid w:val="007E348E"/>
    <w:rsid w:val="007E3606"/>
    <w:rsid w:val="007E38A0"/>
    <w:rsid w:val="007E392B"/>
    <w:rsid w:val="007E3B98"/>
    <w:rsid w:val="007E3E9A"/>
    <w:rsid w:val="007E407D"/>
    <w:rsid w:val="007E42FF"/>
    <w:rsid w:val="007E468C"/>
    <w:rsid w:val="007E479B"/>
    <w:rsid w:val="007E4917"/>
    <w:rsid w:val="007E4AD1"/>
    <w:rsid w:val="007E4B49"/>
    <w:rsid w:val="007E51DB"/>
    <w:rsid w:val="007E5676"/>
    <w:rsid w:val="007E5EB7"/>
    <w:rsid w:val="007E5FB2"/>
    <w:rsid w:val="007E6475"/>
    <w:rsid w:val="007E64F4"/>
    <w:rsid w:val="007E6C85"/>
    <w:rsid w:val="007E6DE0"/>
    <w:rsid w:val="007E70C1"/>
    <w:rsid w:val="007E7243"/>
    <w:rsid w:val="007E72E1"/>
    <w:rsid w:val="007E7450"/>
    <w:rsid w:val="007E764F"/>
    <w:rsid w:val="007E79E3"/>
    <w:rsid w:val="007E7DDE"/>
    <w:rsid w:val="007E7FDC"/>
    <w:rsid w:val="007F0237"/>
    <w:rsid w:val="007F02B7"/>
    <w:rsid w:val="007F0481"/>
    <w:rsid w:val="007F0A58"/>
    <w:rsid w:val="007F0C2A"/>
    <w:rsid w:val="007F0C50"/>
    <w:rsid w:val="007F127E"/>
    <w:rsid w:val="007F1467"/>
    <w:rsid w:val="007F191B"/>
    <w:rsid w:val="007F19BD"/>
    <w:rsid w:val="007F1BF5"/>
    <w:rsid w:val="007F20A7"/>
    <w:rsid w:val="007F21F0"/>
    <w:rsid w:val="007F2444"/>
    <w:rsid w:val="007F35B3"/>
    <w:rsid w:val="007F3795"/>
    <w:rsid w:val="007F3798"/>
    <w:rsid w:val="007F3824"/>
    <w:rsid w:val="007F3A8A"/>
    <w:rsid w:val="007F3BE2"/>
    <w:rsid w:val="007F403A"/>
    <w:rsid w:val="007F4162"/>
    <w:rsid w:val="007F4A5D"/>
    <w:rsid w:val="007F4F16"/>
    <w:rsid w:val="007F5049"/>
    <w:rsid w:val="007F50BA"/>
    <w:rsid w:val="007F5235"/>
    <w:rsid w:val="007F52C0"/>
    <w:rsid w:val="007F54BC"/>
    <w:rsid w:val="007F552F"/>
    <w:rsid w:val="007F563A"/>
    <w:rsid w:val="007F56E3"/>
    <w:rsid w:val="007F589E"/>
    <w:rsid w:val="007F591E"/>
    <w:rsid w:val="007F5FE7"/>
    <w:rsid w:val="007F64AE"/>
    <w:rsid w:val="007F663C"/>
    <w:rsid w:val="007F67C2"/>
    <w:rsid w:val="007F6A87"/>
    <w:rsid w:val="007F7206"/>
    <w:rsid w:val="007F7372"/>
    <w:rsid w:val="007F755A"/>
    <w:rsid w:val="007F7592"/>
    <w:rsid w:val="007F7EAE"/>
    <w:rsid w:val="007F7EEB"/>
    <w:rsid w:val="007F7F1D"/>
    <w:rsid w:val="008009AA"/>
    <w:rsid w:val="00800C42"/>
    <w:rsid w:val="00800DA8"/>
    <w:rsid w:val="00801466"/>
    <w:rsid w:val="0080156A"/>
    <w:rsid w:val="00801F0F"/>
    <w:rsid w:val="008020AB"/>
    <w:rsid w:val="008026ED"/>
    <w:rsid w:val="0080280D"/>
    <w:rsid w:val="00802B8F"/>
    <w:rsid w:val="00802BDA"/>
    <w:rsid w:val="00802E83"/>
    <w:rsid w:val="0080308D"/>
    <w:rsid w:val="0080312A"/>
    <w:rsid w:val="00803798"/>
    <w:rsid w:val="00803E60"/>
    <w:rsid w:val="00803E6E"/>
    <w:rsid w:val="0080416B"/>
    <w:rsid w:val="00804571"/>
    <w:rsid w:val="00804934"/>
    <w:rsid w:val="0080499A"/>
    <w:rsid w:val="00804ABD"/>
    <w:rsid w:val="00804D41"/>
    <w:rsid w:val="00805232"/>
    <w:rsid w:val="008052EE"/>
    <w:rsid w:val="0080534E"/>
    <w:rsid w:val="008058A7"/>
    <w:rsid w:val="00806010"/>
    <w:rsid w:val="008068DA"/>
    <w:rsid w:val="00806C89"/>
    <w:rsid w:val="00807412"/>
    <w:rsid w:val="008075CB"/>
    <w:rsid w:val="00807BCA"/>
    <w:rsid w:val="008100B8"/>
    <w:rsid w:val="0081014D"/>
    <w:rsid w:val="00810236"/>
    <w:rsid w:val="0081055E"/>
    <w:rsid w:val="008107F1"/>
    <w:rsid w:val="008108A9"/>
    <w:rsid w:val="0081146F"/>
    <w:rsid w:val="0081185A"/>
    <w:rsid w:val="0081190F"/>
    <w:rsid w:val="00811B3A"/>
    <w:rsid w:val="00811BE8"/>
    <w:rsid w:val="00812416"/>
    <w:rsid w:val="00812449"/>
    <w:rsid w:val="00812C2B"/>
    <w:rsid w:val="00813126"/>
    <w:rsid w:val="008135E2"/>
    <w:rsid w:val="0081367F"/>
    <w:rsid w:val="0081371C"/>
    <w:rsid w:val="0081384E"/>
    <w:rsid w:val="00813FD6"/>
    <w:rsid w:val="008142C8"/>
    <w:rsid w:val="00814711"/>
    <w:rsid w:val="0081499A"/>
    <w:rsid w:val="00814A5C"/>
    <w:rsid w:val="00814E2B"/>
    <w:rsid w:val="00814F15"/>
    <w:rsid w:val="0081511C"/>
    <w:rsid w:val="0081519C"/>
    <w:rsid w:val="00815456"/>
    <w:rsid w:val="00815587"/>
    <w:rsid w:val="00815A2C"/>
    <w:rsid w:val="00815D2A"/>
    <w:rsid w:val="00816075"/>
    <w:rsid w:val="00816201"/>
    <w:rsid w:val="008164A9"/>
    <w:rsid w:val="00816758"/>
    <w:rsid w:val="00816828"/>
    <w:rsid w:val="00816AEC"/>
    <w:rsid w:val="00816B2A"/>
    <w:rsid w:val="008172E0"/>
    <w:rsid w:val="0081768E"/>
    <w:rsid w:val="00817723"/>
    <w:rsid w:val="008177A1"/>
    <w:rsid w:val="00817862"/>
    <w:rsid w:val="00817F1D"/>
    <w:rsid w:val="0082025A"/>
    <w:rsid w:val="00820285"/>
    <w:rsid w:val="008202EB"/>
    <w:rsid w:val="00820418"/>
    <w:rsid w:val="00820D70"/>
    <w:rsid w:val="00820F86"/>
    <w:rsid w:val="0082109E"/>
    <w:rsid w:val="00821545"/>
    <w:rsid w:val="00821E39"/>
    <w:rsid w:val="0082229B"/>
    <w:rsid w:val="00822301"/>
    <w:rsid w:val="00822B92"/>
    <w:rsid w:val="00822C12"/>
    <w:rsid w:val="00822C1C"/>
    <w:rsid w:val="00822C67"/>
    <w:rsid w:val="00822C76"/>
    <w:rsid w:val="00822FBF"/>
    <w:rsid w:val="00823461"/>
    <w:rsid w:val="00823F7B"/>
    <w:rsid w:val="00824486"/>
    <w:rsid w:val="0082450C"/>
    <w:rsid w:val="008245AA"/>
    <w:rsid w:val="00824835"/>
    <w:rsid w:val="008249AF"/>
    <w:rsid w:val="00824C42"/>
    <w:rsid w:val="00825CCD"/>
    <w:rsid w:val="00825DFE"/>
    <w:rsid w:val="00826248"/>
    <w:rsid w:val="008263FB"/>
    <w:rsid w:val="008265B6"/>
    <w:rsid w:val="0082687C"/>
    <w:rsid w:val="00826F5D"/>
    <w:rsid w:val="0082733E"/>
    <w:rsid w:val="00827631"/>
    <w:rsid w:val="00827A9E"/>
    <w:rsid w:val="00827CA6"/>
    <w:rsid w:val="00827CA7"/>
    <w:rsid w:val="00827CD8"/>
    <w:rsid w:val="0083003A"/>
    <w:rsid w:val="008300DA"/>
    <w:rsid w:val="00830232"/>
    <w:rsid w:val="00830673"/>
    <w:rsid w:val="00830A72"/>
    <w:rsid w:val="00830BB7"/>
    <w:rsid w:val="008319B9"/>
    <w:rsid w:val="00831F02"/>
    <w:rsid w:val="0083212B"/>
    <w:rsid w:val="00832580"/>
    <w:rsid w:val="00832684"/>
    <w:rsid w:val="00832B37"/>
    <w:rsid w:val="00832B8A"/>
    <w:rsid w:val="00832C89"/>
    <w:rsid w:val="00832CEB"/>
    <w:rsid w:val="00832D7D"/>
    <w:rsid w:val="0083300D"/>
    <w:rsid w:val="00833594"/>
    <w:rsid w:val="0083364F"/>
    <w:rsid w:val="00833A04"/>
    <w:rsid w:val="00834071"/>
    <w:rsid w:val="0083410A"/>
    <w:rsid w:val="00834645"/>
    <w:rsid w:val="0083478A"/>
    <w:rsid w:val="00834C52"/>
    <w:rsid w:val="008350B7"/>
    <w:rsid w:val="0083512A"/>
    <w:rsid w:val="008352A2"/>
    <w:rsid w:val="00835891"/>
    <w:rsid w:val="00836675"/>
    <w:rsid w:val="0083687E"/>
    <w:rsid w:val="00836A55"/>
    <w:rsid w:val="0083707E"/>
    <w:rsid w:val="00837857"/>
    <w:rsid w:val="00837EC0"/>
    <w:rsid w:val="00840208"/>
    <w:rsid w:val="0084040D"/>
    <w:rsid w:val="00840437"/>
    <w:rsid w:val="00840534"/>
    <w:rsid w:val="0084063A"/>
    <w:rsid w:val="00840C05"/>
    <w:rsid w:val="00841638"/>
    <w:rsid w:val="0084192B"/>
    <w:rsid w:val="00841AD0"/>
    <w:rsid w:val="00841BDF"/>
    <w:rsid w:val="008420DA"/>
    <w:rsid w:val="00842677"/>
    <w:rsid w:val="008427B8"/>
    <w:rsid w:val="008427FE"/>
    <w:rsid w:val="008429E7"/>
    <w:rsid w:val="00842C78"/>
    <w:rsid w:val="008432FB"/>
    <w:rsid w:val="00843316"/>
    <w:rsid w:val="008436CB"/>
    <w:rsid w:val="0084384B"/>
    <w:rsid w:val="00844097"/>
    <w:rsid w:val="008441FE"/>
    <w:rsid w:val="0084437C"/>
    <w:rsid w:val="008443DE"/>
    <w:rsid w:val="0084487F"/>
    <w:rsid w:val="00844995"/>
    <w:rsid w:val="00844B65"/>
    <w:rsid w:val="00844B88"/>
    <w:rsid w:val="00845359"/>
    <w:rsid w:val="00845568"/>
    <w:rsid w:val="008455DD"/>
    <w:rsid w:val="00845837"/>
    <w:rsid w:val="00845918"/>
    <w:rsid w:val="00845A55"/>
    <w:rsid w:val="00845F18"/>
    <w:rsid w:val="00846149"/>
    <w:rsid w:val="00846A64"/>
    <w:rsid w:val="0084725F"/>
    <w:rsid w:val="008472BA"/>
    <w:rsid w:val="008472F4"/>
    <w:rsid w:val="00847543"/>
    <w:rsid w:val="008475F0"/>
    <w:rsid w:val="008478E1"/>
    <w:rsid w:val="00847C05"/>
    <w:rsid w:val="00847D72"/>
    <w:rsid w:val="00847E73"/>
    <w:rsid w:val="00850345"/>
    <w:rsid w:val="00850571"/>
    <w:rsid w:val="00850910"/>
    <w:rsid w:val="00850DBC"/>
    <w:rsid w:val="00851120"/>
    <w:rsid w:val="00851262"/>
    <w:rsid w:val="0085153F"/>
    <w:rsid w:val="008516A0"/>
    <w:rsid w:val="00851C9B"/>
    <w:rsid w:val="00852146"/>
    <w:rsid w:val="008523C0"/>
    <w:rsid w:val="0085282F"/>
    <w:rsid w:val="00852CD0"/>
    <w:rsid w:val="00852D6E"/>
    <w:rsid w:val="0085320A"/>
    <w:rsid w:val="008532DF"/>
    <w:rsid w:val="0085339D"/>
    <w:rsid w:val="0085371D"/>
    <w:rsid w:val="00853BE6"/>
    <w:rsid w:val="00853F64"/>
    <w:rsid w:val="00853FB9"/>
    <w:rsid w:val="008541B9"/>
    <w:rsid w:val="00854580"/>
    <w:rsid w:val="00855359"/>
    <w:rsid w:val="00856A58"/>
    <w:rsid w:val="00856C27"/>
    <w:rsid w:val="00856CD5"/>
    <w:rsid w:val="00856EFA"/>
    <w:rsid w:val="00856FF2"/>
    <w:rsid w:val="008570AA"/>
    <w:rsid w:val="0085712E"/>
    <w:rsid w:val="0085713B"/>
    <w:rsid w:val="00857CC4"/>
    <w:rsid w:val="00857D30"/>
    <w:rsid w:val="008605EC"/>
    <w:rsid w:val="008610D6"/>
    <w:rsid w:val="00861244"/>
    <w:rsid w:val="008614BC"/>
    <w:rsid w:val="00861984"/>
    <w:rsid w:val="008619C5"/>
    <w:rsid w:val="008619E2"/>
    <w:rsid w:val="00861A4C"/>
    <w:rsid w:val="00861B03"/>
    <w:rsid w:val="00861B62"/>
    <w:rsid w:val="008623DB"/>
    <w:rsid w:val="008627B6"/>
    <w:rsid w:val="008628B7"/>
    <w:rsid w:val="00863920"/>
    <w:rsid w:val="00863AA7"/>
    <w:rsid w:val="00864034"/>
    <w:rsid w:val="008646B9"/>
    <w:rsid w:val="00864B6D"/>
    <w:rsid w:val="00864DF5"/>
    <w:rsid w:val="00864EA6"/>
    <w:rsid w:val="0086537E"/>
    <w:rsid w:val="00865596"/>
    <w:rsid w:val="00865A6E"/>
    <w:rsid w:val="00865BEF"/>
    <w:rsid w:val="00865CBB"/>
    <w:rsid w:val="008660A2"/>
    <w:rsid w:val="00866308"/>
    <w:rsid w:val="0086638F"/>
    <w:rsid w:val="0086686B"/>
    <w:rsid w:val="00866A68"/>
    <w:rsid w:val="00866FD4"/>
    <w:rsid w:val="008676DC"/>
    <w:rsid w:val="008678B4"/>
    <w:rsid w:val="008679C8"/>
    <w:rsid w:val="00867ABF"/>
    <w:rsid w:val="00870C64"/>
    <w:rsid w:val="00870D96"/>
    <w:rsid w:val="00871042"/>
    <w:rsid w:val="0087135E"/>
    <w:rsid w:val="0087150A"/>
    <w:rsid w:val="00871A87"/>
    <w:rsid w:val="00871E9E"/>
    <w:rsid w:val="00872477"/>
    <w:rsid w:val="00872521"/>
    <w:rsid w:val="008725C3"/>
    <w:rsid w:val="008725EB"/>
    <w:rsid w:val="008728A7"/>
    <w:rsid w:val="008728F1"/>
    <w:rsid w:val="00872A2A"/>
    <w:rsid w:val="00872F9F"/>
    <w:rsid w:val="00873595"/>
    <w:rsid w:val="00873720"/>
    <w:rsid w:val="00873AA1"/>
    <w:rsid w:val="00873C62"/>
    <w:rsid w:val="00874072"/>
    <w:rsid w:val="008741AB"/>
    <w:rsid w:val="00874265"/>
    <w:rsid w:val="00874572"/>
    <w:rsid w:val="008745E7"/>
    <w:rsid w:val="008747F5"/>
    <w:rsid w:val="008749FE"/>
    <w:rsid w:val="00874A32"/>
    <w:rsid w:val="00874D3C"/>
    <w:rsid w:val="00874F44"/>
    <w:rsid w:val="00875601"/>
    <w:rsid w:val="008758C5"/>
    <w:rsid w:val="00875DFB"/>
    <w:rsid w:val="00875E37"/>
    <w:rsid w:val="00876154"/>
    <w:rsid w:val="00876469"/>
    <w:rsid w:val="0087655B"/>
    <w:rsid w:val="00876CCF"/>
    <w:rsid w:val="00876CFA"/>
    <w:rsid w:val="00876E96"/>
    <w:rsid w:val="008771E8"/>
    <w:rsid w:val="00877782"/>
    <w:rsid w:val="008777B8"/>
    <w:rsid w:val="0087787D"/>
    <w:rsid w:val="00880033"/>
    <w:rsid w:val="008802E3"/>
    <w:rsid w:val="008804F1"/>
    <w:rsid w:val="00880649"/>
    <w:rsid w:val="008809A7"/>
    <w:rsid w:val="00880A6A"/>
    <w:rsid w:val="00880C20"/>
    <w:rsid w:val="00881112"/>
    <w:rsid w:val="008816A8"/>
    <w:rsid w:val="008820A3"/>
    <w:rsid w:val="00882122"/>
    <w:rsid w:val="00882140"/>
    <w:rsid w:val="00882893"/>
    <w:rsid w:val="00882E8E"/>
    <w:rsid w:val="008831A0"/>
    <w:rsid w:val="008832D8"/>
    <w:rsid w:val="008834D0"/>
    <w:rsid w:val="00883799"/>
    <w:rsid w:val="00883DFC"/>
    <w:rsid w:val="008840DD"/>
    <w:rsid w:val="008844CF"/>
    <w:rsid w:val="008845DB"/>
    <w:rsid w:val="00884709"/>
    <w:rsid w:val="00884D12"/>
    <w:rsid w:val="00884D76"/>
    <w:rsid w:val="00885060"/>
    <w:rsid w:val="0088549C"/>
    <w:rsid w:val="00885735"/>
    <w:rsid w:val="00885757"/>
    <w:rsid w:val="008859FF"/>
    <w:rsid w:val="00886077"/>
    <w:rsid w:val="008861A0"/>
    <w:rsid w:val="00886302"/>
    <w:rsid w:val="008863E5"/>
    <w:rsid w:val="008863FC"/>
    <w:rsid w:val="008866AA"/>
    <w:rsid w:val="00886716"/>
    <w:rsid w:val="00886C8B"/>
    <w:rsid w:val="00887194"/>
    <w:rsid w:val="00887917"/>
    <w:rsid w:val="008879CD"/>
    <w:rsid w:val="00887C8A"/>
    <w:rsid w:val="008900B8"/>
    <w:rsid w:val="008901E6"/>
    <w:rsid w:val="008903DA"/>
    <w:rsid w:val="00890542"/>
    <w:rsid w:val="0089088C"/>
    <w:rsid w:val="00890B99"/>
    <w:rsid w:val="00890CC4"/>
    <w:rsid w:val="00890E95"/>
    <w:rsid w:val="00891A3B"/>
    <w:rsid w:val="00891FA0"/>
    <w:rsid w:val="008922E8"/>
    <w:rsid w:val="00892410"/>
    <w:rsid w:val="00892683"/>
    <w:rsid w:val="00892BDF"/>
    <w:rsid w:val="00892C85"/>
    <w:rsid w:val="00892EBE"/>
    <w:rsid w:val="00892FA5"/>
    <w:rsid w:val="00893485"/>
    <w:rsid w:val="00893984"/>
    <w:rsid w:val="00893BEA"/>
    <w:rsid w:val="00893F63"/>
    <w:rsid w:val="00894038"/>
    <w:rsid w:val="00894136"/>
    <w:rsid w:val="00894418"/>
    <w:rsid w:val="00894AF3"/>
    <w:rsid w:val="00894AFB"/>
    <w:rsid w:val="00894C69"/>
    <w:rsid w:val="0089559C"/>
    <w:rsid w:val="0089567B"/>
    <w:rsid w:val="008957B9"/>
    <w:rsid w:val="00895A5E"/>
    <w:rsid w:val="00895F6C"/>
    <w:rsid w:val="00895FD1"/>
    <w:rsid w:val="008963E7"/>
    <w:rsid w:val="00896845"/>
    <w:rsid w:val="00896BD9"/>
    <w:rsid w:val="00896E37"/>
    <w:rsid w:val="008973E5"/>
    <w:rsid w:val="00897463"/>
    <w:rsid w:val="00897506"/>
    <w:rsid w:val="00897515"/>
    <w:rsid w:val="0089766F"/>
    <w:rsid w:val="008978E8"/>
    <w:rsid w:val="00897DE0"/>
    <w:rsid w:val="008A0066"/>
    <w:rsid w:val="008A0687"/>
    <w:rsid w:val="008A07BF"/>
    <w:rsid w:val="008A0D66"/>
    <w:rsid w:val="008A0E33"/>
    <w:rsid w:val="008A134F"/>
    <w:rsid w:val="008A14FD"/>
    <w:rsid w:val="008A1736"/>
    <w:rsid w:val="008A19B3"/>
    <w:rsid w:val="008A19FD"/>
    <w:rsid w:val="008A1AB6"/>
    <w:rsid w:val="008A1C59"/>
    <w:rsid w:val="008A1E8C"/>
    <w:rsid w:val="008A1F83"/>
    <w:rsid w:val="008A21C7"/>
    <w:rsid w:val="008A2421"/>
    <w:rsid w:val="008A26FF"/>
    <w:rsid w:val="008A2A27"/>
    <w:rsid w:val="008A2B92"/>
    <w:rsid w:val="008A2F86"/>
    <w:rsid w:val="008A2F8A"/>
    <w:rsid w:val="008A34C1"/>
    <w:rsid w:val="008A467B"/>
    <w:rsid w:val="008A4799"/>
    <w:rsid w:val="008A4B70"/>
    <w:rsid w:val="008A4DE7"/>
    <w:rsid w:val="008A4ECD"/>
    <w:rsid w:val="008A6E1F"/>
    <w:rsid w:val="008A6ECD"/>
    <w:rsid w:val="008A7290"/>
    <w:rsid w:val="008A736E"/>
    <w:rsid w:val="008A73CE"/>
    <w:rsid w:val="008A74F6"/>
    <w:rsid w:val="008A7D50"/>
    <w:rsid w:val="008B01EA"/>
    <w:rsid w:val="008B0289"/>
    <w:rsid w:val="008B049E"/>
    <w:rsid w:val="008B07BD"/>
    <w:rsid w:val="008B0BB4"/>
    <w:rsid w:val="008B0BF8"/>
    <w:rsid w:val="008B0C3A"/>
    <w:rsid w:val="008B100D"/>
    <w:rsid w:val="008B1164"/>
    <w:rsid w:val="008B154C"/>
    <w:rsid w:val="008B212D"/>
    <w:rsid w:val="008B232A"/>
    <w:rsid w:val="008B24DE"/>
    <w:rsid w:val="008B256A"/>
    <w:rsid w:val="008B2671"/>
    <w:rsid w:val="008B29CF"/>
    <w:rsid w:val="008B2CFA"/>
    <w:rsid w:val="008B2D12"/>
    <w:rsid w:val="008B3531"/>
    <w:rsid w:val="008B3A63"/>
    <w:rsid w:val="008B3F33"/>
    <w:rsid w:val="008B3FE2"/>
    <w:rsid w:val="008B4028"/>
    <w:rsid w:val="008B41B6"/>
    <w:rsid w:val="008B4352"/>
    <w:rsid w:val="008B4435"/>
    <w:rsid w:val="008B448A"/>
    <w:rsid w:val="008B4626"/>
    <w:rsid w:val="008B469A"/>
    <w:rsid w:val="008B4854"/>
    <w:rsid w:val="008B49D9"/>
    <w:rsid w:val="008B5055"/>
    <w:rsid w:val="008B57DF"/>
    <w:rsid w:val="008B5F3D"/>
    <w:rsid w:val="008B6159"/>
    <w:rsid w:val="008B61F7"/>
    <w:rsid w:val="008B6398"/>
    <w:rsid w:val="008B6417"/>
    <w:rsid w:val="008B647D"/>
    <w:rsid w:val="008B68EA"/>
    <w:rsid w:val="008B6C15"/>
    <w:rsid w:val="008B6D16"/>
    <w:rsid w:val="008B75F5"/>
    <w:rsid w:val="008B792B"/>
    <w:rsid w:val="008B7CB9"/>
    <w:rsid w:val="008B7D19"/>
    <w:rsid w:val="008C0273"/>
    <w:rsid w:val="008C0346"/>
    <w:rsid w:val="008C053A"/>
    <w:rsid w:val="008C066C"/>
    <w:rsid w:val="008C06C2"/>
    <w:rsid w:val="008C078F"/>
    <w:rsid w:val="008C0E55"/>
    <w:rsid w:val="008C0E7E"/>
    <w:rsid w:val="008C0FAA"/>
    <w:rsid w:val="008C13A3"/>
    <w:rsid w:val="008C13A9"/>
    <w:rsid w:val="008C194F"/>
    <w:rsid w:val="008C1AE4"/>
    <w:rsid w:val="008C1E4D"/>
    <w:rsid w:val="008C21AE"/>
    <w:rsid w:val="008C21F0"/>
    <w:rsid w:val="008C25AC"/>
    <w:rsid w:val="008C25DD"/>
    <w:rsid w:val="008C2727"/>
    <w:rsid w:val="008C2FC0"/>
    <w:rsid w:val="008C334D"/>
    <w:rsid w:val="008C344E"/>
    <w:rsid w:val="008C390B"/>
    <w:rsid w:val="008C398F"/>
    <w:rsid w:val="008C3B70"/>
    <w:rsid w:val="008C3C25"/>
    <w:rsid w:val="008C3C49"/>
    <w:rsid w:val="008C3D34"/>
    <w:rsid w:val="008C4074"/>
    <w:rsid w:val="008C4730"/>
    <w:rsid w:val="008C47C6"/>
    <w:rsid w:val="008C4BB3"/>
    <w:rsid w:val="008C4E95"/>
    <w:rsid w:val="008C6C9B"/>
    <w:rsid w:val="008C73E5"/>
    <w:rsid w:val="008C76D0"/>
    <w:rsid w:val="008C7D4E"/>
    <w:rsid w:val="008C7D8D"/>
    <w:rsid w:val="008C7F8D"/>
    <w:rsid w:val="008C7FAE"/>
    <w:rsid w:val="008D0487"/>
    <w:rsid w:val="008D0489"/>
    <w:rsid w:val="008D06A7"/>
    <w:rsid w:val="008D076A"/>
    <w:rsid w:val="008D0DAC"/>
    <w:rsid w:val="008D1226"/>
    <w:rsid w:val="008D12BE"/>
    <w:rsid w:val="008D1B59"/>
    <w:rsid w:val="008D1C6C"/>
    <w:rsid w:val="008D1E0E"/>
    <w:rsid w:val="008D23E9"/>
    <w:rsid w:val="008D27F2"/>
    <w:rsid w:val="008D2870"/>
    <w:rsid w:val="008D2875"/>
    <w:rsid w:val="008D2B33"/>
    <w:rsid w:val="008D2CF5"/>
    <w:rsid w:val="008D2E7B"/>
    <w:rsid w:val="008D2F2A"/>
    <w:rsid w:val="008D2F4E"/>
    <w:rsid w:val="008D342C"/>
    <w:rsid w:val="008D3829"/>
    <w:rsid w:val="008D3AAE"/>
    <w:rsid w:val="008D3F62"/>
    <w:rsid w:val="008D4180"/>
    <w:rsid w:val="008D49A4"/>
    <w:rsid w:val="008D4D06"/>
    <w:rsid w:val="008D57CA"/>
    <w:rsid w:val="008D5800"/>
    <w:rsid w:val="008D5D43"/>
    <w:rsid w:val="008D5F23"/>
    <w:rsid w:val="008D650E"/>
    <w:rsid w:val="008D678B"/>
    <w:rsid w:val="008D692E"/>
    <w:rsid w:val="008D6B63"/>
    <w:rsid w:val="008D6D7F"/>
    <w:rsid w:val="008D6E4B"/>
    <w:rsid w:val="008D71CC"/>
    <w:rsid w:val="008D7200"/>
    <w:rsid w:val="008D75B9"/>
    <w:rsid w:val="008D77D6"/>
    <w:rsid w:val="008E04CB"/>
    <w:rsid w:val="008E0932"/>
    <w:rsid w:val="008E0E34"/>
    <w:rsid w:val="008E1221"/>
    <w:rsid w:val="008E1315"/>
    <w:rsid w:val="008E1409"/>
    <w:rsid w:val="008E1668"/>
    <w:rsid w:val="008E1843"/>
    <w:rsid w:val="008E1AB4"/>
    <w:rsid w:val="008E2F10"/>
    <w:rsid w:val="008E3039"/>
    <w:rsid w:val="008E3107"/>
    <w:rsid w:val="008E3235"/>
    <w:rsid w:val="008E3385"/>
    <w:rsid w:val="008E33F6"/>
    <w:rsid w:val="008E3656"/>
    <w:rsid w:val="008E3E0B"/>
    <w:rsid w:val="008E410B"/>
    <w:rsid w:val="008E5366"/>
    <w:rsid w:val="008E53DB"/>
    <w:rsid w:val="008E553A"/>
    <w:rsid w:val="008E579D"/>
    <w:rsid w:val="008E589E"/>
    <w:rsid w:val="008E6004"/>
    <w:rsid w:val="008E6114"/>
    <w:rsid w:val="008E66F9"/>
    <w:rsid w:val="008E6AB0"/>
    <w:rsid w:val="008E6BD3"/>
    <w:rsid w:val="008E6BD8"/>
    <w:rsid w:val="008E6C6E"/>
    <w:rsid w:val="008E7134"/>
    <w:rsid w:val="008E777F"/>
    <w:rsid w:val="008E7E38"/>
    <w:rsid w:val="008F05E0"/>
    <w:rsid w:val="008F0B90"/>
    <w:rsid w:val="008F0D57"/>
    <w:rsid w:val="008F0D9B"/>
    <w:rsid w:val="008F0E02"/>
    <w:rsid w:val="008F0FB6"/>
    <w:rsid w:val="008F1A81"/>
    <w:rsid w:val="008F1AA3"/>
    <w:rsid w:val="008F1B9E"/>
    <w:rsid w:val="008F1C00"/>
    <w:rsid w:val="008F1CD3"/>
    <w:rsid w:val="008F1D1C"/>
    <w:rsid w:val="008F22C6"/>
    <w:rsid w:val="008F23D4"/>
    <w:rsid w:val="008F291C"/>
    <w:rsid w:val="008F29C6"/>
    <w:rsid w:val="008F2CB6"/>
    <w:rsid w:val="008F35B5"/>
    <w:rsid w:val="008F3672"/>
    <w:rsid w:val="008F3691"/>
    <w:rsid w:val="008F3B13"/>
    <w:rsid w:val="008F3BC6"/>
    <w:rsid w:val="008F3BD1"/>
    <w:rsid w:val="008F3ECA"/>
    <w:rsid w:val="008F418D"/>
    <w:rsid w:val="008F454F"/>
    <w:rsid w:val="008F4807"/>
    <w:rsid w:val="008F4833"/>
    <w:rsid w:val="008F4E39"/>
    <w:rsid w:val="008F5BAC"/>
    <w:rsid w:val="008F643C"/>
    <w:rsid w:val="008F656C"/>
    <w:rsid w:val="008F68FC"/>
    <w:rsid w:val="008F6A14"/>
    <w:rsid w:val="008F6B66"/>
    <w:rsid w:val="008F7477"/>
    <w:rsid w:val="008F74B5"/>
    <w:rsid w:val="008F75B0"/>
    <w:rsid w:val="008F7FC1"/>
    <w:rsid w:val="00900916"/>
    <w:rsid w:val="00900B37"/>
    <w:rsid w:val="00900CFB"/>
    <w:rsid w:val="00900F61"/>
    <w:rsid w:val="0090170F"/>
    <w:rsid w:val="00901874"/>
    <w:rsid w:val="00901CAD"/>
    <w:rsid w:val="0090215A"/>
    <w:rsid w:val="00902585"/>
    <w:rsid w:val="00902788"/>
    <w:rsid w:val="009029D8"/>
    <w:rsid w:val="00902AEA"/>
    <w:rsid w:val="00903883"/>
    <w:rsid w:val="00903F9D"/>
    <w:rsid w:val="009040F0"/>
    <w:rsid w:val="0090424C"/>
    <w:rsid w:val="00904594"/>
    <w:rsid w:val="0090466B"/>
    <w:rsid w:val="009046F4"/>
    <w:rsid w:val="00904739"/>
    <w:rsid w:val="00904A20"/>
    <w:rsid w:val="00904C22"/>
    <w:rsid w:val="00904F65"/>
    <w:rsid w:val="00905117"/>
    <w:rsid w:val="00905355"/>
    <w:rsid w:val="00905552"/>
    <w:rsid w:val="009055E7"/>
    <w:rsid w:val="0090577E"/>
    <w:rsid w:val="009058B7"/>
    <w:rsid w:val="00905AE8"/>
    <w:rsid w:val="00905C66"/>
    <w:rsid w:val="00906C98"/>
    <w:rsid w:val="0090707E"/>
    <w:rsid w:val="0090758E"/>
    <w:rsid w:val="009077EC"/>
    <w:rsid w:val="00907834"/>
    <w:rsid w:val="00907FE1"/>
    <w:rsid w:val="00910506"/>
    <w:rsid w:val="009106B3"/>
    <w:rsid w:val="00910776"/>
    <w:rsid w:val="00910A19"/>
    <w:rsid w:val="00910A54"/>
    <w:rsid w:val="00910C02"/>
    <w:rsid w:val="00910E74"/>
    <w:rsid w:val="009110D9"/>
    <w:rsid w:val="009112B4"/>
    <w:rsid w:val="00911421"/>
    <w:rsid w:val="009117B7"/>
    <w:rsid w:val="0091199F"/>
    <w:rsid w:val="00912127"/>
    <w:rsid w:val="00912431"/>
    <w:rsid w:val="00912B87"/>
    <w:rsid w:val="00912C01"/>
    <w:rsid w:val="00912C1E"/>
    <w:rsid w:val="0091344C"/>
    <w:rsid w:val="00913C76"/>
    <w:rsid w:val="009140FB"/>
    <w:rsid w:val="00914190"/>
    <w:rsid w:val="0091426A"/>
    <w:rsid w:val="00914E0B"/>
    <w:rsid w:val="00914E6D"/>
    <w:rsid w:val="00915018"/>
    <w:rsid w:val="00915146"/>
    <w:rsid w:val="009155F9"/>
    <w:rsid w:val="00915682"/>
    <w:rsid w:val="00915A82"/>
    <w:rsid w:val="00915AEC"/>
    <w:rsid w:val="00915DD9"/>
    <w:rsid w:val="00915E50"/>
    <w:rsid w:val="00916131"/>
    <w:rsid w:val="00916852"/>
    <w:rsid w:val="00916997"/>
    <w:rsid w:val="00916B46"/>
    <w:rsid w:val="00916D85"/>
    <w:rsid w:val="00916E10"/>
    <w:rsid w:val="00916E96"/>
    <w:rsid w:val="00916F57"/>
    <w:rsid w:val="00917238"/>
    <w:rsid w:val="009178EB"/>
    <w:rsid w:val="0091794B"/>
    <w:rsid w:val="00917CF6"/>
    <w:rsid w:val="00917CF9"/>
    <w:rsid w:val="00920314"/>
    <w:rsid w:val="00920345"/>
    <w:rsid w:val="00920C98"/>
    <w:rsid w:val="00920F2C"/>
    <w:rsid w:val="00920F80"/>
    <w:rsid w:val="00920FAF"/>
    <w:rsid w:val="00921063"/>
    <w:rsid w:val="00921427"/>
    <w:rsid w:val="009215D8"/>
    <w:rsid w:val="0092192A"/>
    <w:rsid w:val="00921934"/>
    <w:rsid w:val="00921D3E"/>
    <w:rsid w:val="00921E9E"/>
    <w:rsid w:val="00922050"/>
    <w:rsid w:val="00922115"/>
    <w:rsid w:val="00922180"/>
    <w:rsid w:val="0092229A"/>
    <w:rsid w:val="0092243B"/>
    <w:rsid w:val="00922A86"/>
    <w:rsid w:val="00923243"/>
    <w:rsid w:val="009233D2"/>
    <w:rsid w:val="0092350C"/>
    <w:rsid w:val="0092363D"/>
    <w:rsid w:val="0092367E"/>
    <w:rsid w:val="009237EB"/>
    <w:rsid w:val="009239A0"/>
    <w:rsid w:val="00923D5C"/>
    <w:rsid w:val="00924430"/>
    <w:rsid w:val="00924598"/>
    <w:rsid w:val="00924701"/>
    <w:rsid w:val="00924A82"/>
    <w:rsid w:val="00924CF3"/>
    <w:rsid w:val="009254DF"/>
    <w:rsid w:val="0092564B"/>
    <w:rsid w:val="00925734"/>
    <w:rsid w:val="00925941"/>
    <w:rsid w:val="00925AFD"/>
    <w:rsid w:val="00925EAF"/>
    <w:rsid w:val="00925EFB"/>
    <w:rsid w:val="00926356"/>
    <w:rsid w:val="0092652F"/>
    <w:rsid w:val="0092673E"/>
    <w:rsid w:val="00926843"/>
    <w:rsid w:val="00926AB1"/>
    <w:rsid w:val="00926EE4"/>
    <w:rsid w:val="00927569"/>
    <w:rsid w:val="00927694"/>
    <w:rsid w:val="009276BA"/>
    <w:rsid w:val="00927835"/>
    <w:rsid w:val="00927A32"/>
    <w:rsid w:val="009302A5"/>
    <w:rsid w:val="009302EA"/>
    <w:rsid w:val="00930356"/>
    <w:rsid w:val="00930812"/>
    <w:rsid w:val="0093095A"/>
    <w:rsid w:val="00930964"/>
    <w:rsid w:val="009309B4"/>
    <w:rsid w:val="009313D2"/>
    <w:rsid w:val="00931476"/>
    <w:rsid w:val="0093186C"/>
    <w:rsid w:val="00931B5B"/>
    <w:rsid w:val="00931B9A"/>
    <w:rsid w:val="00931BBD"/>
    <w:rsid w:val="00931CD2"/>
    <w:rsid w:val="00931D4F"/>
    <w:rsid w:val="00931D6E"/>
    <w:rsid w:val="00931EDC"/>
    <w:rsid w:val="009327BC"/>
    <w:rsid w:val="009331B0"/>
    <w:rsid w:val="009333F6"/>
    <w:rsid w:val="00933876"/>
    <w:rsid w:val="00933998"/>
    <w:rsid w:val="00933CA6"/>
    <w:rsid w:val="00933D43"/>
    <w:rsid w:val="00933DB6"/>
    <w:rsid w:val="00933EAA"/>
    <w:rsid w:val="00934027"/>
    <w:rsid w:val="00934050"/>
    <w:rsid w:val="009341EB"/>
    <w:rsid w:val="0093453B"/>
    <w:rsid w:val="0093455C"/>
    <w:rsid w:val="00934615"/>
    <w:rsid w:val="009346DF"/>
    <w:rsid w:val="00934888"/>
    <w:rsid w:val="00934B49"/>
    <w:rsid w:val="00934E36"/>
    <w:rsid w:val="00934F2B"/>
    <w:rsid w:val="00934F8E"/>
    <w:rsid w:val="009355DC"/>
    <w:rsid w:val="00935635"/>
    <w:rsid w:val="00935FE7"/>
    <w:rsid w:val="0093632A"/>
    <w:rsid w:val="0093660E"/>
    <w:rsid w:val="00937285"/>
    <w:rsid w:val="009372E2"/>
    <w:rsid w:val="0093779D"/>
    <w:rsid w:val="00937C27"/>
    <w:rsid w:val="009400E9"/>
    <w:rsid w:val="0094044A"/>
    <w:rsid w:val="009404DC"/>
    <w:rsid w:val="00940A20"/>
    <w:rsid w:val="00940A3F"/>
    <w:rsid w:val="00940D82"/>
    <w:rsid w:val="009412E1"/>
    <w:rsid w:val="009416E1"/>
    <w:rsid w:val="00941741"/>
    <w:rsid w:val="00941CED"/>
    <w:rsid w:val="00941D63"/>
    <w:rsid w:val="00942D5B"/>
    <w:rsid w:val="00942DA0"/>
    <w:rsid w:val="00942E73"/>
    <w:rsid w:val="00943507"/>
    <w:rsid w:val="009435F3"/>
    <w:rsid w:val="00943EDF"/>
    <w:rsid w:val="00943F49"/>
    <w:rsid w:val="009444F2"/>
    <w:rsid w:val="0094456F"/>
    <w:rsid w:val="00944754"/>
    <w:rsid w:val="00944AC4"/>
    <w:rsid w:val="00944C45"/>
    <w:rsid w:val="00944E35"/>
    <w:rsid w:val="009450D2"/>
    <w:rsid w:val="0094515F"/>
    <w:rsid w:val="009453F9"/>
    <w:rsid w:val="0094540F"/>
    <w:rsid w:val="00945534"/>
    <w:rsid w:val="009455F8"/>
    <w:rsid w:val="00945AB2"/>
    <w:rsid w:val="00945B01"/>
    <w:rsid w:val="00945C90"/>
    <w:rsid w:val="00945CD4"/>
    <w:rsid w:val="00945FAB"/>
    <w:rsid w:val="00946320"/>
    <w:rsid w:val="0094654F"/>
    <w:rsid w:val="0094664B"/>
    <w:rsid w:val="0094682D"/>
    <w:rsid w:val="009469F2"/>
    <w:rsid w:val="00946A02"/>
    <w:rsid w:val="00946C58"/>
    <w:rsid w:val="00946EB0"/>
    <w:rsid w:val="00947639"/>
    <w:rsid w:val="009477B5"/>
    <w:rsid w:val="009478A5"/>
    <w:rsid w:val="0095007E"/>
    <w:rsid w:val="009505DE"/>
    <w:rsid w:val="00950641"/>
    <w:rsid w:val="00950B7A"/>
    <w:rsid w:val="00950CBA"/>
    <w:rsid w:val="00950E08"/>
    <w:rsid w:val="00950FC2"/>
    <w:rsid w:val="00951028"/>
    <w:rsid w:val="009516B8"/>
    <w:rsid w:val="0095189B"/>
    <w:rsid w:val="009519EA"/>
    <w:rsid w:val="00951AAF"/>
    <w:rsid w:val="0095257C"/>
    <w:rsid w:val="00953BEF"/>
    <w:rsid w:val="00953E68"/>
    <w:rsid w:val="00953EAB"/>
    <w:rsid w:val="009544BA"/>
    <w:rsid w:val="00954656"/>
    <w:rsid w:val="009551DE"/>
    <w:rsid w:val="009552B6"/>
    <w:rsid w:val="009552B9"/>
    <w:rsid w:val="0095581B"/>
    <w:rsid w:val="00955AE2"/>
    <w:rsid w:val="00955B9B"/>
    <w:rsid w:val="00955C0F"/>
    <w:rsid w:val="00955D03"/>
    <w:rsid w:val="00955EE6"/>
    <w:rsid w:val="00955F86"/>
    <w:rsid w:val="0095641B"/>
    <w:rsid w:val="009565B9"/>
    <w:rsid w:val="00956849"/>
    <w:rsid w:val="009568CA"/>
    <w:rsid w:val="00956D10"/>
    <w:rsid w:val="00956E45"/>
    <w:rsid w:val="00956E4E"/>
    <w:rsid w:val="00956EFD"/>
    <w:rsid w:val="00956FAF"/>
    <w:rsid w:val="00957061"/>
    <w:rsid w:val="009575D3"/>
    <w:rsid w:val="00957BAE"/>
    <w:rsid w:val="0096014D"/>
    <w:rsid w:val="009602E9"/>
    <w:rsid w:val="009605A5"/>
    <w:rsid w:val="00962202"/>
    <w:rsid w:val="009627E8"/>
    <w:rsid w:val="00962FE4"/>
    <w:rsid w:val="009639EF"/>
    <w:rsid w:val="00963E32"/>
    <w:rsid w:val="0096465F"/>
    <w:rsid w:val="009646BE"/>
    <w:rsid w:val="009648B0"/>
    <w:rsid w:val="00964A94"/>
    <w:rsid w:val="00964AA2"/>
    <w:rsid w:val="00964DD6"/>
    <w:rsid w:val="00964FA1"/>
    <w:rsid w:val="009654E2"/>
    <w:rsid w:val="00965541"/>
    <w:rsid w:val="00965619"/>
    <w:rsid w:val="009656DA"/>
    <w:rsid w:val="00965A31"/>
    <w:rsid w:val="00965AD4"/>
    <w:rsid w:val="00965FB0"/>
    <w:rsid w:val="009662D1"/>
    <w:rsid w:val="009664D2"/>
    <w:rsid w:val="0096652B"/>
    <w:rsid w:val="00966804"/>
    <w:rsid w:val="00966CD1"/>
    <w:rsid w:val="0096769C"/>
    <w:rsid w:val="009676BF"/>
    <w:rsid w:val="009676CD"/>
    <w:rsid w:val="00967BB4"/>
    <w:rsid w:val="00967F79"/>
    <w:rsid w:val="00971233"/>
    <w:rsid w:val="00971415"/>
    <w:rsid w:val="00971442"/>
    <w:rsid w:val="009716F0"/>
    <w:rsid w:val="00971715"/>
    <w:rsid w:val="00971719"/>
    <w:rsid w:val="00971A8A"/>
    <w:rsid w:val="00971B19"/>
    <w:rsid w:val="00971BC2"/>
    <w:rsid w:val="00971F4B"/>
    <w:rsid w:val="009721A8"/>
    <w:rsid w:val="009722A8"/>
    <w:rsid w:val="00972D87"/>
    <w:rsid w:val="00972F23"/>
    <w:rsid w:val="00972F66"/>
    <w:rsid w:val="00973108"/>
    <w:rsid w:val="009736F2"/>
    <w:rsid w:val="00973BBD"/>
    <w:rsid w:val="00974865"/>
    <w:rsid w:val="00974936"/>
    <w:rsid w:val="00974DD0"/>
    <w:rsid w:val="00974F55"/>
    <w:rsid w:val="00975082"/>
    <w:rsid w:val="00975473"/>
    <w:rsid w:val="00975592"/>
    <w:rsid w:val="00975639"/>
    <w:rsid w:val="00975817"/>
    <w:rsid w:val="00975917"/>
    <w:rsid w:val="00975929"/>
    <w:rsid w:val="00975B93"/>
    <w:rsid w:val="00976517"/>
    <w:rsid w:val="009767C5"/>
    <w:rsid w:val="009769D8"/>
    <w:rsid w:val="00976C9B"/>
    <w:rsid w:val="009770E8"/>
    <w:rsid w:val="0097730C"/>
    <w:rsid w:val="00977586"/>
    <w:rsid w:val="00977617"/>
    <w:rsid w:val="009778FC"/>
    <w:rsid w:val="009779FB"/>
    <w:rsid w:val="00977CE6"/>
    <w:rsid w:val="00977CF0"/>
    <w:rsid w:val="00980041"/>
    <w:rsid w:val="00980147"/>
    <w:rsid w:val="009802DA"/>
    <w:rsid w:val="00980475"/>
    <w:rsid w:val="009808E7"/>
    <w:rsid w:val="00980A49"/>
    <w:rsid w:val="00980B8C"/>
    <w:rsid w:val="009820F4"/>
    <w:rsid w:val="00982894"/>
    <w:rsid w:val="00982940"/>
    <w:rsid w:val="009829FE"/>
    <w:rsid w:val="00982D2B"/>
    <w:rsid w:val="00983470"/>
    <w:rsid w:val="00983A87"/>
    <w:rsid w:val="00983EEC"/>
    <w:rsid w:val="009843B3"/>
    <w:rsid w:val="00984DF8"/>
    <w:rsid w:val="00984E84"/>
    <w:rsid w:val="0098502B"/>
    <w:rsid w:val="009857E8"/>
    <w:rsid w:val="00985833"/>
    <w:rsid w:val="00985AE4"/>
    <w:rsid w:val="00985C35"/>
    <w:rsid w:val="00985D6A"/>
    <w:rsid w:val="009862F3"/>
    <w:rsid w:val="00986382"/>
    <w:rsid w:val="009863FD"/>
    <w:rsid w:val="00986D2A"/>
    <w:rsid w:val="009872FA"/>
    <w:rsid w:val="009879E9"/>
    <w:rsid w:val="00990030"/>
    <w:rsid w:val="0099016A"/>
    <w:rsid w:val="009904D0"/>
    <w:rsid w:val="00990532"/>
    <w:rsid w:val="00990612"/>
    <w:rsid w:val="00990719"/>
    <w:rsid w:val="00990A2A"/>
    <w:rsid w:val="00990C4B"/>
    <w:rsid w:val="0099118D"/>
    <w:rsid w:val="00991309"/>
    <w:rsid w:val="009914AA"/>
    <w:rsid w:val="00991A26"/>
    <w:rsid w:val="00991A8E"/>
    <w:rsid w:val="00991D40"/>
    <w:rsid w:val="00991D5A"/>
    <w:rsid w:val="009922AE"/>
    <w:rsid w:val="00992C67"/>
    <w:rsid w:val="0099323A"/>
    <w:rsid w:val="00993368"/>
    <w:rsid w:val="0099354E"/>
    <w:rsid w:val="00993664"/>
    <w:rsid w:val="0099373A"/>
    <w:rsid w:val="00993AB8"/>
    <w:rsid w:val="00993B5B"/>
    <w:rsid w:val="0099442A"/>
    <w:rsid w:val="00994A99"/>
    <w:rsid w:val="00994B4A"/>
    <w:rsid w:val="00994BC9"/>
    <w:rsid w:val="00994C0A"/>
    <w:rsid w:val="00994DB8"/>
    <w:rsid w:val="00994E43"/>
    <w:rsid w:val="0099525B"/>
    <w:rsid w:val="009952F1"/>
    <w:rsid w:val="009955DF"/>
    <w:rsid w:val="009956AC"/>
    <w:rsid w:val="00995852"/>
    <w:rsid w:val="00995ECB"/>
    <w:rsid w:val="009960E8"/>
    <w:rsid w:val="009962C2"/>
    <w:rsid w:val="0099650E"/>
    <w:rsid w:val="009965B0"/>
    <w:rsid w:val="00996636"/>
    <w:rsid w:val="009968DF"/>
    <w:rsid w:val="0099748A"/>
    <w:rsid w:val="0099795C"/>
    <w:rsid w:val="009979B6"/>
    <w:rsid w:val="009A00BA"/>
    <w:rsid w:val="009A00F2"/>
    <w:rsid w:val="009A0138"/>
    <w:rsid w:val="009A078A"/>
    <w:rsid w:val="009A0866"/>
    <w:rsid w:val="009A0A6B"/>
    <w:rsid w:val="009A1358"/>
    <w:rsid w:val="009A198B"/>
    <w:rsid w:val="009A1CF8"/>
    <w:rsid w:val="009A2074"/>
    <w:rsid w:val="009A228C"/>
    <w:rsid w:val="009A2326"/>
    <w:rsid w:val="009A2517"/>
    <w:rsid w:val="009A26EC"/>
    <w:rsid w:val="009A288A"/>
    <w:rsid w:val="009A2D78"/>
    <w:rsid w:val="009A31DF"/>
    <w:rsid w:val="009A3586"/>
    <w:rsid w:val="009A3768"/>
    <w:rsid w:val="009A383C"/>
    <w:rsid w:val="009A3A34"/>
    <w:rsid w:val="009A3BE6"/>
    <w:rsid w:val="009A3D1F"/>
    <w:rsid w:val="009A3D84"/>
    <w:rsid w:val="009A3EFD"/>
    <w:rsid w:val="009A408B"/>
    <w:rsid w:val="009A4668"/>
    <w:rsid w:val="009A4B4A"/>
    <w:rsid w:val="009A644F"/>
    <w:rsid w:val="009A655F"/>
    <w:rsid w:val="009A6583"/>
    <w:rsid w:val="009A6817"/>
    <w:rsid w:val="009A6BE8"/>
    <w:rsid w:val="009A6C6C"/>
    <w:rsid w:val="009A6E73"/>
    <w:rsid w:val="009A7383"/>
    <w:rsid w:val="009A7692"/>
    <w:rsid w:val="009A7A29"/>
    <w:rsid w:val="009B014F"/>
    <w:rsid w:val="009B07BB"/>
    <w:rsid w:val="009B0F7B"/>
    <w:rsid w:val="009B132D"/>
    <w:rsid w:val="009B1543"/>
    <w:rsid w:val="009B1558"/>
    <w:rsid w:val="009B159F"/>
    <w:rsid w:val="009B18B9"/>
    <w:rsid w:val="009B1914"/>
    <w:rsid w:val="009B19DC"/>
    <w:rsid w:val="009B1A81"/>
    <w:rsid w:val="009B1B2D"/>
    <w:rsid w:val="009B207D"/>
    <w:rsid w:val="009B20EC"/>
    <w:rsid w:val="009B2421"/>
    <w:rsid w:val="009B2811"/>
    <w:rsid w:val="009B2A30"/>
    <w:rsid w:val="009B317F"/>
    <w:rsid w:val="009B3247"/>
    <w:rsid w:val="009B329B"/>
    <w:rsid w:val="009B3CDC"/>
    <w:rsid w:val="009B40E0"/>
    <w:rsid w:val="009B4569"/>
    <w:rsid w:val="009B462F"/>
    <w:rsid w:val="009B49DD"/>
    <w:rsid w:val="009B4A71"/>
    <w:rsid w:val="009B508D"/>
    <w:rsid w:val="009B5223"/>
    <w:rsid w:val="009B5804"/>
    <w:rsid w:val="009B5D6B"/>
    <w:rsid w:val="009B5F4E"/>
    <w:rsid w:val="009B60EB"/>
    <w:rsid w:val="009B6A4D"/>
    <w:rsid w:val="009B6CCB"/>
    <w:rsid w:val="009B72F7"/>
    <w:rsid w:val="009B79D7"/>
    <w:rsid w:val="009B7B07"/>
    <w:rsid w:val="009B7D00"/>
    <w:rsid w:val="009B7F34"/>
    <w:rsid w:val="009C03D2"/>
    <w:rsid w:val="009C040A"/>
    <w:rsid w:val="009C0533"/>
    <w:rsid w:val="009C05EB"/>
    <w:rsid w:val="009C0952"/>
    <w:rsid w:val="009C0AEB"/>
    <w:rsid w:val="009C0DD2"/>
    <w:rsid w:val="009C10E8"/>
    <w:rsid w:val="009C16CE"/>
    <w:rsid w:val="009C172D"/>
    <w:rsid w:val="009C19D8"/>
    <w:rsid w:val="009C2085"/>
    <w:rsid w:val="009C22BA"/>
    <w:rsid w:val="009C23B8"/>
    <w:rsid w:val="009C261E"/>
    <w:rsid w:val="009C29D5"/>
    <w:rsid w:val="009C2AB5"/>
    <w:rsid w:val="009C30E5"/>
    <w:rsid w:val="009C318E"/>
    <w:rsid w:val="009C32C2"/>
    <w:rsid w:val="009C36F8"/>
    <w:rsid w:val="009C3766"/>
    <w:rsid w:val="009C3A2F"/>
    <w:rsid w:val="009C3AA6"/>
    <w:rsid w:val="009C3E8A"/>
    <w:rsid w:val="009C3FEC"/>
    <w:rsid w:val="009C403D"/>
    <w:rsid w:val="009C4073"/>
    <w:rsid w:val="009C4306"/>
    <w:rsid w:val="009C4593"/>
    <w:rsid w:val="009C4C5D"/>
    <w:rsid w:val="009C5386"/>
    <w:rsid w:val="009C584C"/>
    <w:rsid w:val="009C5E96"/>
    <w:rsid w:val="009C5E9B"/>
    <w:rsid w:val="009C5EB2"/>
    <w:rsid w:val="009C6174"/>
    <w:rsid w:val="009C6DD2"/>
    <w:rsid w:val="009C79DB"/>
    <w:rsid w:val="009C7FD2"/>
    <w:rsid w:val="009C7FD4"/>
    <w:rsid w:val="009D013C"/>
    <w:rsid w:val="009D0879"/>
    <w:rsid w:val="009D0B4A"/>
    <w:rsid w:val="009D0C32"/>
    <w:rsid w:val="009D119A"/>
    <w:rsid w:val="009D135A"/>
    <w:rsid w:val="009D16A4"/>
    <w:rsid w:val="009D17E5"/>
    <w:rsid w:val="009D1830"/>
    <w:rsid w:val="009D1F2E"/>
    <w:rsid w:val="009D2274"/>
    <w:rsid w:val="009D2679"/>
    <w:rsid w:val="009D2692"/>
    <w:rsid w:val="009D273E"/>
    <w:rsid w:val="009D2E1C"/>
    <w:rsid w:val="009D319D"/>
    <w:rsid w:val="009D32B7"/>
    <w:rsid w:val="009D342B"/>
    <w:rsid w:val="009D34C2"/>
    <w:rsid w:val="009D35CC"/>
    <w:rsid w:val="009D3692"/>
    <w:rsid w:val="009D3A1F"/>
    <w:rsid w:val="009D3AFD"/>
    <w:rsid w:val="009D3E27"/>
    <w:rsid w:val="009D3E45"/>
    <w:rsid w:val="009D4194"/>
    <w:rsid w:val="009D43C8"/>
    <w:rsid w:val="009D4695"/>
    <w:rsid w:val="009D4D33"/>
    <w:rsid w:val="009D4D46"/>
    <w:rsid w:val="009D4DEC"/>
    <w:rsid w:val="009D51E8"/>
    <w:rsid w:val="009D541B"/>
    <w:rsid w:val="009D57EC"/>
    <w:rsid w:val="009D5899"/>
    <w:rsid w:val="009D5DB3"/>
    <w:rsid w:val="009D5E9A"/>
    <w:rsid w:val="009D5F96"/>
    <w:rsid w:val="009D60C7"/>
    <w:rsid w:val="009D61C1"/>
    <w:rsid w:val="009D6507"/>
    <w:rsid w:val="009D6D63"/>
    <w:rsid w:val="009D6ED1"/>
    <w:rsid w:val="009D7029"/>
    <w:rsid w:val="009D72AD"/>
    <w:rsid w:val="009D7343"/>
    <w:rsid w:val="009D7359"/>
    <w:rsid w:val="009D73CD"/>
    <w:rsid w:val="009D767F"/>
    <w:rsid w:val="009D7C9A"/>
    <w:rsid w:val="009E02EF"/>
    <w:rsid w:val="009E095F"/>
    <w:rsid w:val="009E0DF7"/>
    <w:rsid w:val="009E0E62"/>
    <w:rsid w:val="009E0FF0"/>
    <w:rsid w:val="009E107C"/>
    <w:rsid w:val="009E1208"/>
    <w:rsid w:val="009E173C"/>
    <w:rsid w:val="009E1812"/>
    <w:rsid w:val="009E1C35"/>
    <w:rsid w:val="009E1F83"/>
    <w:rsid w:val="009E24A8"/>
    <w:rsid w:val="009E2541"/>
    <w:rsid w:val="009E25FD"/>
    <w:rsid w:val="009E261C"/>
    <w:rsid w:val="009E2A97"/>
    <w:rsid w:val="009E2F0E"/>
    <w:rsid w:val="009E2F9E"/>
    <w:rsid w:val="009E3EC5"/>
    <w:rsid w:val="009E4641"/>
    <w:rsid w:val="009E48A3"/>
    <w:rsid w:val="009E48C2"/>
    <w:rsid w:val="009E4A5F"/>
    <w:rsid w:val="009E4E33"/>
    <w:rsid w:val="009E4F0F"/>
    <w:rsid w:val="009E5643"/>
    <w:rsid w:val="009E5C62"/>
    <w:rsid w:val="009E5F32"/>
    <w:rsid w:val="009E60ED"/>
    <w:rsid w:val="009E6660"/>
    <w:rsid w:val="009E6BA1"/>
    <w:rsid w:val="009E6DA3"/>
    <w:rsid w:val="009E6E40"/>
    <w:rsid w:val="009E6F6D"/>
    <w:rsid w:val="009E76C6"/>
    <w:rsid w:val="009E77DC"/>
    <w:rsid w:val="009E7854"/>
    <w:rsid w:val="009E7985"/>
    <w:rsid w:val="009E79D9"/>
    <w:rsid w:val="009E79F1"/>
    <w:rsid w:val="009E7BB8"/>
    <w:rsid w:val="009E7EC1"/>
    <w:rsid w:val="009E7FA3"/>
    <w:rsid w:val="009F02DB"/>
    <w:rsid w:val="009F03FA"/>
    <w:rsid w:val="009F0D8C"/>
    <w:rsid w:val="009F0E7D"/>
    <w:rsid w:val="009F144C"/>
    <w:rsid w:val="009F162D"/>
    <w:rsid w:val="009F172E"/>
    <w:rsid w:val="009F1744"/>
    <w:rsid w:val="009F1B18"/>
    <w:rsid w:val="009F1BD1"/>
    <w:rsid w:val="009F1C3B"/>
    <w:rsid w:val="009F1D9E"/>
    <w:rsid w:val="009F28C1"/>
    <w:rsid w:val="009F310E"/>
    <w:rsid w:val="009F3338"/>
    <w:rsid w:val="009F34B1"/>
    <w:rsid w:val="009F3563"/>
    <w:rsid w:val="009F3946"/>
    <w:rsid w:val="009F3A0C"/>
    <w:rsid w:val="009F3B9D"/>
    <w:rsid w:val="009F3D25"/>
    <w:rsid w:val="009F4454"/>
    <w:rsid w:val="009F44C1"/>
    <w:rsid w:val="009F4B43"/>
    <w:rsid w:val="009F4F2B"/>
    <w:rsid w:val="009F508F"/>
    <w:rsid w:val="009F5133"/>
    <w:rsid w:val="009F5AA7"/>
    <w:rsid w:val="009F5B3E"/>
    <w:rsid w:val="009F5CB2"/>
    <w:rsid w:val="009F5DCA"/>
    <w:rsid w:val="009F5E0F"/>
    <w:rsid w:val="009F5E62"/>
    <w:rsid w:val="009F62DC"/>
    <w:rsid w:val="009F6870"/>
    <w:rsid w:val="009F6C87"/>
    <w:rsid w:val="009F6EA7"/>
    <w:rsid w:val="009F6EF5"/>
    <w:rsid w:val="009F70D1"/>
    <w:rsid w:val="009F71C1"/>
    <w:rsid w:val="009F77E7"/>
    <w:rsid w:val="00A0096A"/>
    <w:rsid w:val="00A00A68"/>
    <w:rsid w:val="00A00C2C"/>
    <w:rsid w:val="00A00E10"/>
    <w:rsid w:val="00A00E43"/>
    <w:rsid w:val="00A01CFF"/>
    <w:rsid w:val="00A01FC8"/>
    <w:rsid w:val="00A02241"/>
    <w:rsid w:val="00A02266"/>
    <w:rsid w:val="00A022B9"/>
    <w:rsid w:val="00A02307"/>
    <w:rsid w:val="00A02523"/>
    <w:rsid w:val="00A02694"/>
    <w:rsid w:val="00A02A5C"/>
    <w:rsid w:val="00A02C96"/>
    <w:rsid w:val="00A02D9B"/>
    <w:rsid w:val="00A03533"/>
    <w:rsid w:val="00A0392D"/>
    <w:rsid w:val="00A03C33"/>
    <w:rsid w:val="00A0494B"/>
    <w:rsid w:val="00A04CAB"/>
    <w:rsid w:val="00A056DC"/>
    <w:rsid w:val="00A058BA"/>
    <w:rsid w:val="00A05AA9"/>
    <w:rsid w:val="00A05F19"/>
    <w:rsid w:val="00A062FE"/>
    <w:rsid w:val="00A063BF"/>
    <w:rsid w:val="00A066D2"/>
    <w:rsid w:val="00A069E5"/>
    <w:rsid w:val="00A072F6"/>
    <w:rsid w:val="00A0783D"/>
    <w:rsid w:val="00A07DCB"/>
    <w:rsid w:val="00A10909"/>
    <w:rsid w:val="00A10DB2"/>
    <w:rsid w:val="00A1103D"/>
    <w:rsid w:val="00A1121D"/>
    <w:rsid w:val="00A112CA"/>
    <w:rsid w:val="00A11346"/>
    <w:rsid w:val="00A11451"/>
    <w:rsid w:val="00A11B5A"/>
    <w:rsid w:val="00A1223A"/>
    <w:rsid w:val="00A124AF"/>
    <w:rsid w:val="00A12875"/>
    <w:rsid w:val="00A12B13"/>
    <w:rsid w:val="00A12B3C"/>
    <w:rsid w:val="00A12DEC"/>
    <w:rsid w:val="00A130ED"/>
    <w:rsid w:val="00A13263"/>
    <w:rsid w:val="00A134F0"/>
    <w:rsid w:val="00A13593"/>
    <w:rsid w:val="00A13CAF"/>
    <w:rsid w:val="00A13DFC"/>
    <w:rsid w:val="00A13F6F"/>
    <w:rsid w:val="00A14032"/>
    <w:rsid w:val="00A14163"/>
    <w:rsid w:val="00A14313"/>
    <w:rsid w:val="00A14728"/>
    <w:rsid w:val="00A14A72"/>
    <w:rsid w:val="00A14FA1"/>
    <w:rsid w:val="00A1503C"/>
    <w:rsid w:val="00A15273"/>
    <w:rsid w:val="00A15428"/>
    <w:rsid w:val="00A156D3"/>
    <w:rsid w:val="00A156F3"/>
    <w:rsid w:val="00A15A24"/>
    <w:rsid w:val="00A165C1"/>
    <w:rsid w:val="00A1696F"/>
    <w:rsid w:val="00A171F1"/>
    <w:rsid w:val="00A173EB"/>
    <w:rsid w:val="00A1779A"/>
    <w:rsid w:val="00A1793B"/>
    <w:rsid w:val="00A17A10"/>
    <w:rsid w:val="00A2025D"/>
    <w:rsid w:val="00A20271"/>
    <w:rsid w:val="00A20568"/>
    <w:rsid w:val="00A207E6"/>
    <w:rsid w:val="00A20A7B"/>
    <w:rsid w:val="00A21066"/>
    <w:rsid w:val="00A2117F"/>
    <w:rsid w:val="00A212DA"/>
    <w:rsid w:val="00A21381"/>
    <w:rsid w:val="00A219A5"/>
    <w:rsid w:val="00A21B5C"/>
    <w:rsid w:val="00A21CFB"/>
    <w:rsid w:val="00A2208E"/>
    <w:rsid w:val="00A2221F"/>
    <w:rsid w:val="00A22516"/>
    <w:rsid w:val="00A22650"/>
    <w:rsid w:val="00A226D4"/>
    <w:rsid w:val="00A22736"/>
    <w:rsid w:val="00A227A6"/>
    <w:rsid w:val="00A22A5E"/>
    <w:rsid w:val="00A22AE2"/>
    <w:rsid w:val="00A22B4C"/>
    <w:rsid w:val="00A238EA"/>
    <w:rsid w:val="00A2423C"/>
    <w:rsid w:val="00A242D4"/>
    <w:rsid w:val="00A24358"/>
    <w:rsid w:val="00A2483B"/>
    <w:rsid w:val="00A2497D"/>
    <w:rsid w:val="00A24A00"/>
    <w:rsid w:val="00A24CFE"/>
    <w:rsid w:val="00A25285"/>
    <w:rsid w:val="00A25651"/>
    <w:rsid w:val="00A25C7C"/>
    <w:rsid w:val="00A25D40"/>
    <w:rsid w:val="00A25E8D"/>
    <w:rsid w:val="00A26571"/>
    <w:rsid w:val="00A267AA"/>
    <w:rsid w:val="00A267EE"/>
    <w:rsid w:val="00A26CE2"/>
    <w:rsid w:val="00A26E07"/>
    <w:rsid w:val="00A27151"/>
    <w:rsid w:val="00A2737B"/>
    <w:rsid w:val="00A2737D"/>
    <w:rsid w:val="00A2755B"/>
    <w:rsid w:val="00A275B9"/>
    <w:rsid w:val="00A27814"/>
    <w:rsid w:val="00A279EB"/>
    <w:rsid w:val="00A27AB5"/>
    <w:rsid w:val="00A27FD2"/>
    <w:rsid w:val="00A30351"/>
    <w:rsid w:val="00A30357"/>
    <w:rsid w:val="00A30383"/>
    <w:rsid w:val="00A30D8C"/>
    <w:rsid w:val="00A30DA6"/>
    <w:rsid w:val="00A30DCB"/>
    <w:rsid w:val="00A31486"/>
    <w:rsid w:val="00A31709"/>
    <w:rsid w:val="00A317AB"/>
    <w:rsid w:val="00A31935"/>
    <w:rsid w:val="00A31D7C"/>
    <w:rsid w:val="00A31F01"/>
    <w:rsid w:val="00A31F29"/>
    <w:rsid w:val="00A320B0"/>
    <w:rsid w:val="00A320C6"/>
    <w:rsid w:val="00A32573"/>
    <w:rsid w:val="00A3284A"/>
    <w:rsid w:val="00A328D4"/>
    <w:rsid w:val="00A32957"/>
    <w:rsid w:val="00A32C7F"/>
    <w:rsid w:val="00A3336D"/>
    <w:rsid w:val="00A33741"/>
    <w:rsid w:val="00A33843"/>
    <w:rsid w:val="00A33B6C"/>
    <w:rsid w:val="00A33C7D"/>
    <w:rsid w:val="00A33F73"/>
    <w:rsid w:val="00A34F17"/>
    <w:rsid w:val="00A352B5"/>
    <w:rsid w:val="00A353D5"/>
    <w:rsid w:val="00A355AB"/>
    <w:rsid w:val="00A35666"/>
    <w:rsid w:val="00A35758"/>
    <w:rsid w:val="00A358BB"/>
    <w:rsid w:val="00A35C11"/>
    <w:rsid w:val="00A35CC9"/>
    <w:rsid w:val="00A35F8C"/>
    <w:rsid w:val="00A360B8"/>
    <w:rsid w:val="00A361CB"/>
    <w:rsid w:val="00A36229"/>
    <w:rsid w:val="00A36595"/>
    <w:rsid w:val="00A36675"/>
    <w:rsid w:val="00A36AB9"/>
    <w:rsid w:val="00A36BFE"/>
    <w:rsid w:val="00A36E21"/>
    <w:rsid w:val="00A36FF3"/>
    <w:rsid w:val="00A371FA"/>
    <w:rsid w:val="00A37335"/>
    <w:rsid w:val="00A37581"/>
    <w:rsid w:val="00A3759F"/>
    <w:rsid w:val="00A375A1"/>
    <w:rsid w:val="00A37699"/>
    <w:rsid w:val="00A377D0"/>
    <w:rsid w:val="00A37AFB"/>
    <w:rsid w:val="00A37D6F"/>
    <w:rsid w:val="00A37EED"/>
    <w:rsid w:val="00A40250"/>
    <w:rsid w:val="00A4062B"/>
    <w:rsid w:val="00A4079D"/>
    <w:rsid w:val="00A4083F"/>
    <w:rsid w:val="00A4084D"/>
    <w:rsid w:val="00A40A71"/>
    <w:rsid w:val="00A40F16"/>
    <w:rsid w:val="00A40F5D"/>
    <w:rsid w:val="00A414B7"/>
    <w:rsid w:val="00A417EC"/>
    <w:rsid w:val="00A41A81"/>
    <w:rsid w:val="00A41AD2"/>
    <w:rsid w:val="00A41B62"/>
    <w:rsid w:val="00A41F2E"/>
    <w:rsid w:val="00A422D4"/>
    <w:rsid w:val="00A4240C"/>
    <w:rsid w:val="00A42510"/>
    <w:rsid w:val="00A42851"/>
    <w:rsid w:val="00A42917"/>
    <w:rsid w:val="00A42F4E"/>
    <w:rsid w:val="00A430B3"/>
    <w:rsid w:val="00A435BC"/>
    <w:rsid w:val="00A436C1"/>
    <w:rsid w:val="00A43737"/>
    <w:rsid w:val="00A4381C"/>
    <w:rsid w:val="00A4382B"/>
    <w:rsid w:val="00A44655"/>
    <w:rsid w:val="00A4478A"/>
    <w:rsid w:val="00A4482C"/>
    <w:rsid w:val="00A44B27"/>
    <w:rsid w:val="00A44C6D"/>
    <w:rsid w:val="00A44E16"/>
    <w:rsid w:val="00A44E7B"/>
    <w:rsid w:val="00A456B5"/>
    <w:rsid w:val="00A45966"/>
    <w:rsid w:val="00A45AA8"/>
    <w:rsid w:val="00A45BC6"/>
    <w:rsid w:val="00A46A93"/>
    <w:rsid w:val="00A47358"/>
    <w:rsid w:val="00A4798C"/>
    <w:rsid w:val="00A479CA"/>
    <w:rsid w:val="00A47B4B"/>
    <w:rsid w:val="00A47B5E"/>
    <w:rsid w:val="00A47FC6"/>
    <w:rsid w:val="00A47FE6"/>
    <w:rsid w:val="00A5030E"/>
    <w:rsid w:val="00A5054C"/>
    <w:rsid w:val="00A50DA4"/>
    <w:rsid w:val="00A50E29"/>
    <w:rsid w:val="00A50E87"/>
    <w:rsid w:val="00A510DF"/>
    <w:rsid w:val="00A51721"/>
    <w:rsid w:val="00A51859"/>
    <w:rsid w:val="00A51872"/>
    <w:rsid w:val="00A518A1"/>
    <w:rsid w:val="00A51D51"/>
    <w:rsid w:val="00A51FCB"/>
    <w:rsid w:val="00A52091"/>
    <w:rsid w:val="00A5236F"/>
    <w:rsid w:val="00A5237B"/>
    <w:rsid w:val="00A523FE"/>
    <w:rsid w:val="00A524FA"/>
    <w:rsid w:val="00A524FD"/>
    <w:rsid w:val="00A526B4"/>
    <w:rsid w:val="00A529EF"/>
    <w:rsid w:val="00A535B1"/>
    <w:rsid w:val="00A5393E"/>
    <w:rsid w:val="00A53EF2"/>
    <w:rsid w:val="00A5406B"/>
    <w:rsid w:val="00A541DC"/>
    <w:rsid w:val="00A543B4"/>
    <w:rsid w:val="00A54430"/>
    <w:rsid w:val="00A54CE1"/>
    <w:rsid w:val="00A55C85"/>
    <w:rsid w:val="00A55E34"/>
    <w:rsid w:val="00A5620D"/>
    <w:rsid w:val="00A564AA"/>
    <w:rsid w:val="00A564E8"/>
    <w:rsid w:val="00A56618"/>
    <w:rsid w:val="00A569C3"/>
    <w:rsid w:val="00A56B13"/>
    <w:rsid w:val="00A56DBB"/>
    <w:rsid w:val="00A57702"/>
    <w:rsid w:val="00A57714"/>
    <w:rsid w:val="00A57BE7"/>
    <w:rsid w:val="00A57D99"/>
    <w:rsid w:val="00A57DEE"/>
    <w:rsid w:val="00A57FA5"/>
    <w:rsid w:val="00A57FD8"/>
    <w:rsid w:val="00A603E4"/>
    <w:rsid w:val="00A6061F"/>
    <w:rsid w:val="00A6094D"/>
    <w:rsid w:val="00A6097B"/>
    <w:rsid w:val="00A60C69"/>
    <w:rsid w:val="00A60D55"/>
    <w:rsid w:val="00A6104E"/>
    <w:rsid w:val="00A611A1"/>
    <w:rsid w:val="00A61681"/>
    <w:rsid w:val="00A61A93"/>
    <w:rsid w:val="00A61B53"/>
    <w:rsid w:val="00A61BE1"/>
    <w:rsid w:val="00A61E68"/>
    <w:rsid w:val="00A6222B"/>
    <w:rsid w:val="00A6234B"/>
    <w:rsid w:val="00A62459"/>
    <w:rsid w:val="00A624CF"/>
    <w:rsid w:val="00A628AE"/>
    <w:rsid w:val="00A62C23"/>
    <w:rsid w:val="00A62F4E"/>
    <w:rsid w:val="00A63C1F"/>
    <w:rsid w:val="00A63FEF"/>
    <w:rsid w:val="00A642ED"/>
    <w:rsid w:val="00A643FB"/>
    <w:rsid w:val="00A64477"/>
    <w:rsid w:val="00A64506"/>
    <w:rsid w:val="00A647E4"/>
    <w:rsid w:val="00A64A89"/>
    <w:rsid w:val="00A64B0C"/>
    <w:rsid w:val="00A64F7C"/>
    <w:rsid w:val="00A6510B"/>
    <w:rsid w:val="00A65356"/>
    <w:rsid w:val="00A653F0"/>
    <w:rsid w:val="00A657F7"/>
    <w:rsid w:val="00A6599E"/>
    <w:rsid w:val="00A659CB"/>
    <w:rsid w:val="00A66146"/>
    <w:rsid w:val="00A662D0"/>
    <w:rsid w:val="00A6637B"/>
    <w:rsid w:val="00A66417"/>
    <w:rsid w:val="00A66516"/>
    <w:rsid w:val="00A66739"/>
    <w:rsid w:val="00A669A3"/>
    <w:rsid w:val="00A66ABB"/>
    <w:rsid w:val="00A66D53"/>
    <w:rsid w:val="00A67B27"/>
    <w:rsid w:val="00A67E8E"/>
    <w:rsid w:val="00A67E91"/>
    <w:rsid w:val="00A700F5"/>
    <w:rsid w:val="00A701D3"/>
    <w:rsid w:val="00A701D5"/>
    <w:rsid w:val="00A702AA"/>
    <w:rsid w:val="00A70324"/>
    <w:rsid w:val="00A7037A"/>
    <w:rsid w:val="00A70612"/>
    <w:rsid w:val="00A70C52"/>
    <w:rsid w:val="00A70D86"/>
    <w:rsid w:val="00A715F5"/>
    <w:rsid w:val="00A71632"/>
    <w:rsid w:val="00A717FB"/>
    <w:rsid w:val="00A71A99"/>
    <w:rsid w:val="00A71CD7"/>
    <w:rsid w:val="00A71EA6"/>
    <w:rsid w:val="00A7209C"/>
    <w:rsid w:val="00A7267D"/>
    <w:rsid w:val="00A72763"/>
    <w:rsid w:val="00A72A05"/>
    <w:rsid w:val="00A72B02"/>
    <w:rsid w:val="00A72F25"/>
    <w:rsid w:val="00A73076"/>
    <w:rsid w:val="00A730B0"/>
    <w:rsid w:val="00A734EF"/>
    <w:rsid w:val="00A7367F"/>
    <w:rsid w:val="00A73712"/>
    <w:rsid w:val="00A73793"/>
    <w:rsid w:val="00A73959"/>
    <w:rsid w:val="00A73DCA"/>
    <w:rsid w:val="00A74113"/>
    <w:rsid w:val="00A74281"/>
    <w:rsid w:val="00A7456E"/>
    <w:rsid w:val="00A74812"/>
    <w:rsid w:val="00A74B6B"/>
    <w:rsid w:val="00A74E6E"/>
    <w:rsid w:val="00A750BC"/>
    <w:rsid w:val="00A75224"/>
    <w:rsid w:val="00A7581A"/>
    <w:rsid w:val="00A75DAD"/>
    <w:rsid w:val="00A763F1"/>
    <w:rsid w:val="00A764F3"/>
    <w:rsid w:val="00A76844"/>
    <w:rsid w:val="00A76E87"/>
    <w:rsid w:val="00A774AE"/>
    <w:rsid w:val="00A7776B"/>
    <w:rsid w:val="00A77B4E"/>
    <w:rsid w:val="00A77BD4"/>
    <w:rsid w:val="00A77F16"/>
    <w:rsid w:val="00A80517"/>
    <w:rsid w:val="00A80912"/>
    <w:rsid w:val="00A81391"/>
    <w:rsid w:val="00A8142C"/>
    <w:rsid w:val="00A81A40"/>
    <w:rsid w:val="00A81B2E"/>
    <w:rsid w:val="00A81D26"/>
    <w:rsid w:val="00A82076"/>
    <w:rsid w:val="00A8230E"/>
    <w:rsid w:val="00A82416"/>
    <w:rsid w:val="00A82A8A"/>
    <w:rsid w:val="00A82AEC"/>
    <w:rsid w:val="00A82C3A"/>
    <w:rsid w:val="00A82D22"/>
    <w:rsid w:val="00A83353"/>
    <w:rsid w:val="00A835C3"/>
    <w:rsid w:val="00A83AE0"/>
    <w:rsid w:val="00A842D0"/>
    <w:rsid w:val="00A84337"/>
    <w:rsid w:val="00A84AB1"/>
    <w:rsid w:val="00A84D87"/>
    <w:rsid w:val="00A84FA6"/>
    <w:rsid w:val="00A85015"/>
    <w:rsid w:val="00A853F2"/>
    <w:rsid w:val="00A855A1"/>
    <w:rsid w:val="00A858BA"/>
    <w:rsid w:val="00A85BD8"/>
    <w:rsid w:val="00A85CD2"/>
    <w:rsid w:val="00A8610A"/>
    <w:rsid w:val="00A862B1"/>
    <w:rsid w:val="00A86399"/>
    <w:rsid w:val="00A866C6"/>
    <w:rsid w:val="00A86852"/>
    <w:rsid w:val="00A86859"/>
    <w:rsid w:val="00A86A28"/>
    <w:rsid w:val="00A86BEF"/>
    <w:rsid w:val="00A86BF8"/>
    <w:rsid w:val="00A86C81"/>
    <w:rsid w:val="00A8705F"/>
    <w:rsid w:val="00A8734F"/>
    <w:rsid w:val="00A873D0"/>
    <w:rsid w:val="00A87764"/>
    <w:rsid w:val="00A878EC"/>
    <w:rsid w:val="00A87BA5"/>
    <w:rsid w:val="00A87FBF"/>
    <w:rsid w:val="00A90347"/>
    <w:rsid w:val="00A90455"/>
    <w:rsid w:val="00A90702"/>
    <w:rsid w:val="00A90894"/>
    <w:rsid w:val="00A909CF"/>
    <w:rsid w:val="00A90CA4"/>
    <w:rsid w:val="00A912FF"/>
    <w:rsid w:val="00A913B1"/>
    <w:rsid w:val="00A91760"/>
    <w:rsid w:val="00A91799"/>
    <w:rsid w:val="00A925FA"/>
    <w:rsid w:val="00A929BA"/>
    <w:rsid w:val="00A92AEF"/>
    <w:rsid w:val="00A9315D"/>
    <w:rsid w:val="00A93413"/>
    <w:rsid w:val="00A9364F"/>
    <w:rsid w:val="00A9366C"/>
    <w:rsid w:val="00A9375C"/>
    <w:rsid w:val="00A9442C"/>
    <w:rsid w:val="00A94DB1"/>
    <w:rsid w:val="00A94E1F"/>
    <w:rsid w:val="00A95245"/>
    <w:rsid w:val="00A958C0"/>
    <w:rsid w:val="00A95C0B"/>
    <w:rsid w:val="00A95DED"/>
    <w:rsid w:val="00A95FDD"/>
    <w:rsid w:val="00A96417"/>
    <w:rsid w:val="00A964D3"/>
    <w:rsid w:val="00A964D7"/>
    <w:rsid w:val="00A9650B"/>
    <w:rsid w:val="00A965E4"/>
    <w:rsid w:val="00A969BC"/>
    <w:rsid w:val="00A96EBE"/>
    <w:rsid w:val="00A972F0"/>
    <w:rsid w:val="00A97496"/>
    <w:rsid w:val="00A976F7"/>
    <w:rsid w:val="00A977C1"/>
    <w:rsid w:val="00A97948"/>
    <w:rsid w:val="00A97A09"/>
    <w:rsid w:val="00A97B81"/>
    <w:rsid w:val="00A97C78"/>
    <w:rsid w:val="00A97D66"/>
    <w:rsid w:val="00AA0090"/>
    <w:rsid w:val="00AA043D"/>
    <w:rsid w:val="00AA0689"/>
    <w:rsid w:val="00AA0CC6"/>
    <w:rsid w:val="00AA0CF5"/>
    <w:rsid w:val="00AA1067"/>
    <w:rsid w:val="00AA10F8"/>
    <w:rsid w:val="00AA1312"/>
    <w:rsid w:val="00AA1508"/>
    <w:rsid w:val="00AA18BC"/>
    <w:rsid w:val="00AA29C5"/>
    <w:rsid w:val="00AA2AB0"/>
    <w:rsid w:val="00AA2BAF"/>
    <w:rsid w:val="00AA3206"/>
    <w:rsid w:val="00AA33B3"/>
    <w:rsid w:val="00AA34C2"/>
    <w:rsid w:val="00AA3777"/>
    <w:rsid w:val="00AA3A4E"/>
    <w:rsid w:val="00AA3CC4"/>
    <w:rsid w:val="00AA3D61"/>
    <w:rsid w:val="00AA411E"/>
    <w:rsid w:val="00AA43E0"/>
    <w:rsid w:val="00AA47DC"/>
    <w:rsid w:val="00AA4A40"/>
    <w:rsid w:val="00AA4AFE"/>
    <w:rsid w:val="00AA4DDD"/>
    <w:rsid w:val="00AA4F8E"/>
    <w:rsid w:val="00AA5156"/>
    <w:rsid w:val="00AA5569"/>
    <w:rsid w:val="00AA55B8"/>
    <w:rsid w:val="00AA563A"/>
    <w:rsid w:val="00AA5C92"/>
    <w:rsid w:val="00AA6A9A"/>
    <w:rsid w:val="00AA6D76"/>
    <w:rsid w:val="00AA6FBE"/>
    <w:rsid w:val="00AA7051"/>
    <w:rsid w:val="00AA72CA"/>
    <w:rsid w:val="00AA7437"/>
    <w:rsid w:val="00AB03D6"/>
    <w:rsid w:val="00AB0D45"/>
    <w:rsid w:val="00AB1946"/>
    <w:rsid w:val="00AB1C3E"/>
    <w:rsid w:val="00AB1CC1"/>
    <w:rsid w:val="00AB1D49"/>
    <w:rsid w:val="00AB1DF7"/>
    <w:rsid w:val="00AB20D7"/>
    <w:rsid w:val="00AB242C"/>
    <w:rsid w:val="00AB28A6"/>
    <w:rsid w:val="00AB2E26"/>
    <w:rsid w:val="00AB373A"/>
    <w:rsid w:val="00AB39CC"/>
    <w:rsid w:val="00AB3A53"/>
    <w:rsid w:val="00AB3C0B"/>
    <w:rsid w:val="00AB3C4B"/>
    <w:rsid w:val="00AB3D03"/>
    <w:rsid w:val="00AB4175"/>
    <w:rsid w:val="00AB483F"/>
    <w:rsid w:val="00AB4AFF"/>
    <w:rsid w:val="00AB4D8B"/>
    <w:rsid w:val="00AB4E1C"/>
    <w:rsid w:val="00AB4F11"/>
    <w:rsid w:val="00AB4F92"/>
    <w:rsid w:val="00AB5870"/>
    <w:rsid w:val="00AB5E2D"/>
    <w:rsid w:val="00AB655A"/>
    <w:rsid w:val="00AB69C1"/>
    <w:rsid w:val="00AB69F2"/>
    <w:rsid w:val="00AB6C38"/>
    <w:rsid w:val="00AB6DEA"/>
    <w:rsid w:val="00AB70D5"/>
    <w:rsid w:val="00AB73F4"/>
    <w:rsid w:val="00AB7591"/>
    <w:rsid w:val="00AB79FF"/>
    <w:rsid w:val="00AB7FB2"/>
    <w:rsid w:val="00AC078A"/>
    <w:rsid w:val="00AC0D86"/>
    <w:rsid w:val="00AC1A6E"/>
    <w:rsid w:val="00AC1E7F"/>
    <w:rsid w:val="00AC2348"/>
    <w:rsid w:val="00AC2422"/>
    <w:rsid w:val="00AC2456"/>
    <w:rsid w:val="00AC2CD8"/>
    <w:rsid w:val="00AC2EC9"/>
    <w:rsid w:val="00AC300E"/>
    <w:rsid w:val="00AC33D9"/>
    <w:rsid w:val="00AC35C0"/>
    <w:rsid w:val="00AC368C"/>
    <w:rsid w:val="00AC3739"/>
    <w:rsid w:val="00AC3F43"/>
    <w:rsid w:val="00AC4368"/>
    <w:rsid w:val="00AC460C"/>
    <w:rsid w:val="00AC4A83"/>
    <w:rsid w:val="00AC4BA9"/>
    <w:rsid w:val="00AC50A4"/>
    <w:rsid w:val="00AC5287"/>
    <w:rsid w:val="00AC5B8B"/>
    <w:rsid w:val="00AC5ED0"/>
    <w:rsid w:val="00AC6242"/>
    <w:rsid w:val="00AC6425"/>
    <w:rsid w:val="00AC6A0A"/>
    <w:rsid w:val="00AC6C6A"/>
    <w:rsid w:val="00AC6CF6"/>
    <w:rsid w:val="00AC6E94"/>
    <w:rsid w:val="00AC6FB7"/>
    <w:rsid w:val="00AC7016"/>
    <w:rsid w:val="00AC73A3"/>
    <w:rsid w:val="00AC750F"/>
    <w:rsid w:val="00AC766B"/>
    <w:rsid w:val="00AC783F"/>
    <w:rsid w:val="00AC7A3D"/>
    <w:rsid w:val="00AC7DF4"/>
    <w:rsid w:val="00AC7E14"/>
    <w:rsid w:val="00AC7EC5"/>
    <w:rsid w:val="00AD0095"/>
    <w:rsid w:val="00AD033B"/>
    <w:rsid w:val="00AD0567"/>
    <w:rsid w:val="00AD0E38"/>
    <w:rsid w:val="00AD0E5F"/>
    <w:rsid w:val="00AD102B"/>
    <w:rsid w:val="00AD11D3"/>
    <w:rsid w:val="00AD131C"/>
    <w:rsid w:val="00AD14A1"/>
    <w:rsid w:val="00AD19E1"/>
    <w:rsid w:val="00AD19E3"/>
    <w:rsid w:val="00AD1BF9"/>
    <w:rsid w:val="00AD1D5D"/>
    <w:rsid w:val="00AD1F24"/>
    <w:rsid w:val="00AD1F30"/>
    <w:rsid w:val="00AD1FA7"/>
    <w:rsid w:val="00AD1FD3"/>
    <w:rsid w:val="00AD2798"/>
    <w:rsid w:val="00AD2C91"/>
    <w:rsid w:val="00AD2F32"/>
    <w:rsid w:val="00AD3093"/>
    <w:rsid w:val="00AD39B7"/>
    <w:rsid w:val="00AD3B8A"/>
    <w:rsid w:val="00AD3CCC"/>
    <w:rsid w:val="00AD4357"/>
    <w:rsid w:val="00AD4BEA"/>
    <w:rsid w:val="00AD5311"/>
    <w:rsid w:val="00AD5326"/>
    <w:rsid w:val="00AD56F1"/>
    <w:rsid w:val="00AD5B94"/>
    <w:rsid w:val="00AD649A"/>
    <w:rsid w:val="00AD6943"/>
    <w:rsid w:val="00AD6953"/>
    <w:rsid w:val="00AD7242"/>
    <w:rsid w:val="00AD728A"/>
    <w:rsid w:val="00AD72E1"/>
    <w:rsid w:val="00AD77C9"/>
    <w:rsid w:val="00AD79DE"/>
    <w:rsid w:val="00AD79FF"/>
    <w:rsid w:val="00AE003A"/>
    <w:rsid w:val="00AE0129"/>
    <w:rsid w:val="00AE01F8"/>
    <w:rsid w:val="00AE0687"/>
    <w:rsid w:val="00AE08B4"/>
    <w:rsid w:val="00AE08EB"/>
    <w:rsid w:val="00AE0ADB"/>
    <w:rsid w:val="00AE0E51"/>
    <w:rsid w:val="00AE1092"/>
    <w:rsid w:val="00AE1157"/>
    <w:rsid w:val="00AE138E"/>
    <w:rsid w:val="00AE17F7"/>
    <w:rsid w:val="00AE1EB2"/>
    <w:rsid w:val="00AE226E"/>
    <w:rsid w:val="00AE23D3"/>
    <w:rsid w:val="00AE2424"/>
    <w:rsid w:val="00AE2461"/>
    <w:rsid w:val="00AE27CA"/>
    <w:rsid w:val="00AE2853"/>
    <w:rsid w:val="00AE2B08"/>
    <w:rsid w:val="00AE2C40"/>
    <w:rsid w:val="00AE2E9E"/>
    <w:rsid w:val="00AE3139"/>
    <w:rsid w:val="00AE3498"/>
    <w:rsid w:val="00AE3594"/>
    <w:rsid w:val="00AE37CF"/>
    <w:rsid w:val="00AE393C"/>
    <w:rsid w:val="00AE39AD"/>
    <w:rsid w:val="00AE3DCA"/>
    <w:rsid w:val="00AE414E"/>
    <w:rsid w:val="00AE4181"/>
    <w:rsid w:val="00AE48A9"/>
    <w:rsid w:val="00AE49B4"/>
    <w:rsid w:val="00AE51F9"/>
    <w:rsid w:val="00AE53AD"/>
    <w:rsid w:val="00AE53FD"/>
    <w:rsid w:val="00AE55B7"/>
    <w:rsid w:val="00AE59CA"/>
    <w:rsid w:val="00AE5C57"/>
    <w:rsid w:val="00AE5E41"/>
    <w:rsid w:val="00AE6128"/>
    <w:rsid w:val="00AE6158"/>
    <w:rsid w:val="00AE6313"/>
    <w:rsid w:val="00AE63F8"/>
    <w:rsid w:val="00AE6ACE"/>
    <w:rsid w:val="00AE6B9F"/>
    <w:rsid w:val="00AE6E40"/>
    <w:rsid w:val="00AE74E7"/>
    <w:rsid w:val="00AE750A"/>
    <w:rsid w:val="00AE751D"/>
    <w:rsid w:val="00AE7DEA"/>
    <w:rsid w:val="00AE7F77"/>
    <w:rsid w:val="00AF033E"/>
    <w:rsid w:val="00AF06EF"/>
    <w:rsid w:val="00AF0F46"/>
    <w:rsid w:val="00AF15E4"/>
    <w:rsid w:val="00AF169E"/>
    <w:rsid w:val="00AF1AAA"/>
    <w:rsid w:val="00AF2013"/>
    <w:rsid w:val="00AF20D9"/>
    <w:rsid w:val="00AF24F3"/>
    <w:rsid w:val="00AF269F"/>
    <w:rsid w:val="00AF319D"/>
    <w:rsid w:val="00AF3B33"/>
    <w:rsid w:val="00AF3BB7"/>
    <w:rsid w:val="00AF42A3"/>
    <w:rsid w:val="00AF4598"/>
    <w:rsid w:val="00AF49A1"/>
    <w:rsid w:val="00AF4AE6"/>
    <w:rsid w:val="00AF4C9E"/>
    <w:rsid w:val="00AF4DE6"/>
    <w:rsid w:val="00AF50EF"/>
    <w:rsid w:val="00AF5677"/>
    <w:rsid w:val="00AF5785"/>
    <w:rsid w:val="00AF5B6B"/>
    <w:rsid w:val="00AF5E6E"/>
    <w:rsid w:val="00AF6080"/>
    <w:rsid w:val="00AF690B"/>
    <w:rsid w:val="00AF6C0D"/>
    <w:rsid w:val="00AF71EF"/>
    <w:rsid w:val="00AF771F"/>
    <w:rsid w:val="00AF797E"/>
    <w:rsid w:val="00AF7C43"/>
    <w:rsid w:val="00AF7D52"/>
    <w:rsid w:val="00AF7D5E"/>
    <w:rsid w:val="00B0005F"/>
    <w:rsid w:val="00B002A3"/>
    <w:rsid w:val="00B0053A"/>
    <w:rsid w:val="00B00729"/>
    <w:rsid w:val="00B00785"/>
    <w:rsid w:val="00B00DC2"/>
    <w:rsid w:val="00B00E9C"/>
    <w:rsid w:val="00B01145"/>
    <w:rsid w:val="00B011F3"/>
    <w:rsid w:val="00B012A5"/>
    <w:rsid w:val="00B015D1"/>
    <w:rsid w:val="00B01825"/>
    <w:rsid w:val="00B01B18"/>
    <w:rsid w:val="00B01D66"/>
    <w:rsid w:val="00B02192"/>
    <w:rsid w:val="00B02289"/>
    <w:rsid w:val="00B0241F"/>
    <w:rsid w:val="00B02967"/>
    <w:rsid w:val="00B02B34"/>
    <w:rsid w:val="00B02C35"/>
    <w:rsid w:val="00B02D20"/>
    <w:rsid w:val="00B0338A"/>
    <w:rsid w:val="00B033AA"/>
    <w:rsid w:val="00B035C6"/>
    <w:rsid w:val="00B035D5"/>
    <w:rsid w:val="00B037BA"/>
    <w:rsid w:val="00B03A90"/>
    <w:rsid w:val="00B03B51"/>
    <w:rsid w:val="00B03FB7"/>
    <w:rsid w:val="00B042BE"/>
    <w:rsid w:val="00B043E2"/>
    <w:rsid w:val="00B04597"/>
    <w:rsid w:val="00B04608"/>
    <w:rsid w:val="00B046B6"/>
    <w:rsid w:val="00B046B9"/>
    <w:rsid w:val="00B0495A"/>
    <w:rsid w:val="00B04996"/>
    <w:rsid w:val="00B04A01"/>
    <w:rsid w:val="00B04AB4"/>
    <w:rsid w:val="00B052AF"/>
    <w:rsid w:val="00B055DF"/>
    <w:rsid w:val="00B05859"/>
    <w:rsid w:val="00B05C6A"/>
    <w:rsid w:val="00B05F13"/>
    <w:rsid w:val="00B0602E"/>
    <w:rsid w:val="00B06249"/>
    <w:rsid w:val="00B066C4"/>
    <w:rsid w:val="00B06C2E"/>
    <w:rsid w:val="00B06C6B"/>
    <w:rsid w:val="00B072E3"/>
    <w:rsid w:val="00B073E6"/>
    <w:rsid w:val="00B07469"/>
    <w:rsid w:val="00B075BD"/>
    <w:rsid w:val="00B075F0"/>
    <w:rsid w:val="00B07624"/>
    <w:rsid w:val="00B077E3"/>
    <w:rsid w:val="00B1029F"/>
    <w:rsid w:val="00B1039E"/>
    <w:rsid w:val="00B103CC"/>
    <w:rsid w:val="00B105C8"/>
    <w:rsid w:val="00B106D7"/>
    <w:rsid w:val="00B107CA"/>
    <w:rsid w:val="00B10814"/>
    <w:rsid w:val="00B10A9E"/>
    <w:rsid w:val="00B10FE3"/>
    <w:rsid w:val="00B111D0"/>
    <w:rsid w:val="00B11682"/>
    <w:rsid w:val="00B11722"/>
    <w:rsid w:val="00B11CB6"/>
    <w:rsid w:val="00B11D64"/>
    <w:rsid w:val="00B11DED"/>
    <w:rsid w:val="00B11EFA"/>
    <w:rsid w:val="00B12435"/>
    <w:rsid w:val="00B12969"/>
    <w:rsid w:val="00B12CAA"/>
    <w:rsid w:val="00B138A4"/>
    <w:rsid w:val="00B13B38"/>
    <w:rsid w:val="00B13CCA"/>
    <w:rsid w:val="00B13CF8"/>
    <w:rsid w:val="00B140D7"/>
    <w:rsid w:val="00B1472E"/>
    <w:rsid w:val="00B148D9"/>
    <w:rsid w:val="00B1497C"/>
    <w:rsid w:val="00B14E69"/>
    <w:rsid w:val="00B14EA8"/>
    <w:rsid w:val="00B14F61"/>
    <w:rsid w:val="00B15095"/>
    <w:rsid w:val="00B152BD"/>
    <w:rsid w:val="00B15405"/>
    <w:rsid w:val="00B156A1"/>
    <w:rsid w:val="00B15869"/>
    <w:rsid w:val="00B1589E"/>
    <w:rsid w:val="00B15937"/>
    <w:rsid w:val="00B15A08"/>
    <w:rsid w:val="00B15EEC"/>
    <w:rsid w:val="00B164B4"/>
    <w:rsid w:val="00B168A1"/>
    <w:rsid w:val="00B16CD2"/>
    <w:rsid w:val="00B16D53"/>
    <w:rsid w:val="00B16EB7"/>
    <w:rsid w:val="00B1704B"/>
    <w:rsid w:val="00B17091"/>
    <w:rsid w:val="00B175DD"/>
    <w:rsid w:val="00B17DA8"/>
    <w:rsid w:val="00B20827"/>
    <w:rsid w:val="00B20A34"/>
    <w:rsid w:val="00B20D1E"/>
    <w:rsid w:val="00B2101E"/>
    <w:rsid w:val="00B213E6"/>
    <w:rsid w:val="00B21653"/>
    <w:rsid w:val="00B217CA"/>
    <w:rsid w:val="00B21EEC"/>
    <w:rsid w:val="00B21F4E"/>
    <w:rsid w:val="00B221EB"/>
    <w:rsid w:val="00B229D0"/>
    <w:rsid w:val="00B22F4A"/>
    <w:rsid w:val="00B22FB2"/>
    <w:rsid w:val="00B23126"/>
    <w:rsid w:val="00B232DA"/>
    <w:rsid w:val="00B233CE"/>
    <w:rsid w:val="00B236FE"/>
    <w:rsid w:val="00B2374E"/>
    <w:rsid w:val="00B2378A"/>
    <w:rsid w:val="00B23AB5"/>
    <w:rsid w:val="00B23CAF"/>
    <w:rsid w:val="00B23E3E"/>
    <w:rsid w:val="00B23FCA"/>
    <w:rsid w:val="00B2437D"/>
    <w:rsid w:val="00B24638"/>
    <w:rsid w:val="00B24751"/>
    <w:rsid w:val="00B2485F"/>
    <w:rsid w:val="00B2498E"/>
    <w:rsid w:val="00B24B5D"/>
    <w:rsid w:val="00B24D35"/>
    <w:rsid w:val="00B24EC1"/>
    <w:rsid w:val="00B2548F"/>
    <w:rsid w:val="00B25733"/>
    <w:rsid w:val="00B25ABB"/>
    <w:rsid w:val="00B25BE5"/>
    <w:rsid w:val="00B26078"/>
    <w:rsid w:val="00B26BFD"/>
    <w:rsid w:val="00B26E25"/>
    <w:rsid w:val="00B26E6F"/>
    <w:rsid w:val="00B27017"/>
    <w:rsid w:val="00B271D5"/>
    <w:rsid w:val="00B277D5"/>
    <w:rsid w:val="00B279F5"/>
    <w:rsid w:val="00B27E50"/>
    <w:rsid w:val="00B27F1D"/>
    <w:rsid w:val="00B3046A"/>
    <w:rsid w:val="00B306F3"/>
    <w:rsid w:val="00B30C7A"/>
    <w:rsid w:val="00B316ED"/>
    <w:rsid w:val="00B31813"/>
    <w:rsid w:val="00B3187A"/>
    <w:rsid w:val="00B318D9"/>
    <w:rsid w:val="00B31921"/>
    <w:rsid w:val="00B31A77"/>
    <w:rsid w:val="00B31BEC"/>
    <w:rsid w:val="00B31E61"/>
    <w:rsid w:val="00B31EA7"/>
    <w:rsid w:val="00B31ECD"/>
    <w:rsid w:val="00B326DE"/>
    <w:rsid w:val="00B32974"/>
    <w:rsid w:val="00B32A7C"/>
    <w:rsid w:val="00B32BE9"/>
    <w:rsid w:val="00B32DAA"/>
    <w:rsid w:val="00B32E86"/>
    <w:rsid w:val="00B332F4"/>
    <w:rsid w:val="00B3331E"/>
    <w:rsid w:val="00B33382"/>
    <w:rsid w:val="00B334F5"/>
    <w:rsid w:val="00B33742"/>
    <w:rsid w:val="00B33C3E"/>
    <w:rsid w:val="00B33F17"/>
    <w:rsid w:val="00B34079"/>
    <w:rsid w:val="00B340BA"/>
    <w:rsid w:val="00B3413B"/>
    <w:rsid w:val="00B3424F"/>
    <w:rsid w:val="00B343FB"/>
    <w:rsid w:val="00B348CF"/>
    <w:rsid w:val="00B349AB"/>
    <w:rsid w:val="00B349C5"/>
    <w:rsid w:val="00B34B5B"/>
    <w:rsid w:val="00B34F1B"/>
    <w:rsid w:val="00B34F71"/>
    <w:rsid w:val="00B351C3"/>
    <w:rsid w:val="00B35C30"/>
    <w:rsid w:val="00B35F1B"/>
    <w:rsid w:val="00B361EF"/>
    <w:rsid w:val="00B36464"/>
    <w:rsid w:val="00B3705D"/>
    <w:rsid w:val="00B37308"/>
    <w:rsid w:val="00B377A1"/>
    <w:rsid w:val="00B37951"/>
    <w:rsid w:val="00B379DF"/>
    <w:rsid w:val="00B37C2B"/>
    <w:rsid w:val="00B37C2C"/>
    <w:rsid w:val="00B37D28"/>
    <w:rsid w:val="00B37D70"/>
    <w:rsid w:val="00B4002A"/>
    <w:rsid w:val="00B40139"/>
    <w:rsid w:val="00B40969"/>
    <w:rsid w:val="00B41A0C"/>
    <w:rsid w:val="00B41A57"/>
    <w:rsid w:val="00B41A72"/>
    <w:rsid w:val="00B41DAD"/>
    <w:rsid w:val="00B42017"/>
    <w:rsid w:val="00B42068"/>
    <w:rsid w:val="00B42191"/>
    <w:rsid w:val="00B422B3"/>
    <w:rsid w:val="00B423C0"/>
    <w:rsid w:val="00B42A81"/>
    <w:rsid w:val="00B42B80"/>
    <w:rsid w:val="00B42CDD"/>
    <w:rsid w:val="00B43393"/>
    <w:rsid w:val="00B437F3"/>
    <w:rsid w:val="00B442A9"/>
    <w:rsid w:val="00B44594"/>
    <w:rsid w:val="00B447AC"/>
    <w:rsid w:val="00B44875"/>
    <w:rsid w:val="00B448AF"/>
    <w:rsid w:val="00B448E1"/>
    <w:rsid w:val="00B449F5"/>
    <w:rsid w:val="00B44E29"/>
    <w:rsid w:val="00B44E2C"/>
    <w:rsid w:val="00B454C2"/>
    <w:rsid w:val="00B4550A"/>
    <w:rsid w:val="00B45713"/>
    <w:rsid w:val="00B4595E"/>
    <w:rsid w:val="00B45D5A"/>
    <w:rsid w:val="00B45EB8"/>
    <w:rsid w:val="00B45EFD"/>
    <w:rsid w:val="00B45F19"/>
    <w:rsid w:val="00B45F95"/>
    <w:rsid w:val="00B46702"/>
    <w:rsid w:val="00B468FA"/>
    <w:rsid w:val="00B46C8C"/>
    <w:rsid w:val="00B46F5E"/>
    <w:rsid w:val="00B4720E"/>
    <w:rsid w:val="00B47335"/>
    <w:rsid w:val="00B47361"/>
    <w:rsid w:val="00B4742F"/>
    <w:rsid w:val="00B47496"/>
    <w:rsid w:val="00B4781D"/>
    <w:rsid w:val="00B4799A"/>
    <w:rsid w:val="00B500C6"/>
    <w:rsid w:val="00B500E9"/>
    <w:rsid w:val="00B502AA"/>
    <w:rsid w:val="00B50ACC"/>
    <w:rsid w:val="00B50AE8"/>
    <w:rsid w:val="00B5111E"/>
    <w:rsid w:val="00B5135F"/>
    <w:rsid w:val="00B5178B"/>
    <w:rsid w:val="00B51C89"/>
    <w:rsid w:val="00B52003"/>
    <w:rsid w:val="00B521BE"/>
    <w:rsid w:val="00B5230A"/>
    <w:rsid w:val="00B52317"/>
    <w:rsid w:val="00B531DD"/>
    <w:rsid w:val="00B53467"/>
    <w:rsid w:val="00B536A3"/>
    <w:rsid w:val="00B536DE"/>
    <w:rsid w:val="00B53797"/>
    <w:rsid w:val="00B53A2C"/>
    <w:rsid w:val="00B53B4D"/>
    <w:rsid w:val="00B54056"/>
    <w:rsid w:val="00B54699"/>
    <w:rsid w:val="00B546C6"/>
    <w:rsid w:val="00B547F2"/>
    <w:rsid w:val="00B548F1"/>
    <w:rsid w:val="00B549E6"/>
    <w:rsid w:val="00B54AC9"/>
    <w:rsid w:val="00B54AD3"/>
    <w:rsid w:val="00B54DB2"/>
    <w:rsid w:val="00B55052"/>
    <w:rsid w:val="00B552AE"/>
    <w:rsid w:val="00B55BBE"/>
    <w:rsid w:val="00B55F13"/>
    <w:rsid w:val="00B56309"/>
    <w:rsid w:val="00B56886"/>
    <w:rsid w:val="00B568DA"/>
    <w:rsid w:val="00B56B54"/>
    <w:rsid w:val="00B56C1C"/>
    <w:rsid w:val="00B574F0"/>
    <w:rsid w:val="00B57F10"/>
    <w:rsid w:val="00B60027"/>
    <w:rsid w:val="00B600C8"/>
    <w:rsid w:val="00B6030F"/>
    <w:rsid w:val="00B606F8"/>
    <w:rsid w:val="00B60814"/>
    <w:rsid w:val="00B6088F"/>
    <w:rsid w:val="00B60F4A"/>
    <w:rsid w:val="00B612AF"/>
    <w:rsid w:val="00B61350"/>
    <w:rsid w:val="00B618F3"/>
    <w:rsid w:val="00B61B30"/>
    <w:rsid w:val="00B622A7"/>
    <w:rsid w:val="00B62598"/>
    <w:rsid w:val="00B626AD"/>
    <w:rsid w:val="00B62AE1"/>
    <w:rsid w:val="00B62B60"/>
    <w:rsid w:val="00B62EDF"/>
    <w:rsid w:val="00B63129"/>
    <w:rsid w:val="00B6348E"/>
    <w:rsid w:val="00B63562"/>
    <w:rsid w:val="00B63577"/>
    <w:rsid w:val="00B6392B"/>
    <w:rsid w:val="00B639BC"/>
    <w:rsid w:val="00B63A66"/>
    <w:rsid w:val="00B63AED"/>
    <w:rsid w:val="00B63E25"/>
    <w:rsid w:val="00B642A2"/>
    <w:rsid w:val="00B644BF"/>
    <w:rsid w:val="00B645A9"/>
    <w:rsid w:val="00B652CC"/>
    <w:rsid w:val="00B6555F"/>
    <w:rsid w:val="00B65779"/>
    <w:rsid w:val="00B65D34"/>
    <w:rsid w:val="00B65D39"/>
    <w:rsid w:val="00B65F6D"/>
    <w:rsid w:val="00B65F7D"/>
    <w:rsid w:val="00B6691A"/>
    <w:rsid w:val="00B66C60"/>
    <w:rsid w:val="00B6703D"/>
    <w:rsid w:val="00B6745A"/>
    <w:rsid w:val="00B67714"/>
    <w:rsid w:val="00B678D4"/>
    <w:rsid w:val="00B6792C"/>
    <w:rsid w:val="00B67A5E"/>
    <w:rsid w:val="00B67B4E"/>
    <w:rsid w:val="00B67D11"/>
    <w:rsid w:val="00B704C6"/>
    <w:rsid w:val="00B70E7C"/>
    <w:rsid w:val="00B7157E"/>
    <w:rsid w:val="00B719D2"/>
    <w:rsid w:val="00B71A4E"/>
    <w:rsid w:val="00B7220C"/>
    <w:rsid w:val="00B72388"/>
    <w:rsid w:val="00B725C2"/>
    <w:rsid w:val="00B727D5"/>
    <w:rsid w:val="00B727E6"/>
    <w:rsid w:val="00B7287F"/>
    <w:rsid w:val="00B72A04"/>
    <w:rsid w:val="00B73250"/>
    <w:rsid w:val="00B7327A"/>
    <w:rsid w:val="00B7346F"/>
    <w:rsid w:val="00B73710"/>
    <w:rsid w:val="00B73D64"/>
    <w:rsid w:val="00B75078"/>
    <w:rsid w:val="00B750BC"/>
    <w:rsid w:val="00B752C7"/>
    <w:rsid w:val="00B75530"/>
    <w:rsid w:val="00B75539"/>
    <w:rsid w:val="00B75DE0"/>
    <w:rsid w:val="00B75FCC"/>
    <w:rsid w:val="00B7625C"/>
    <w:rsid w:val="00B76978"/>
    <w:rsid w:val="00B76A30"/>
    <w:rsid w:val="00B76D4B"/>
    <w:rsid w:val="00B76DDC"/>
    <w:rsid w:val="00B77252"/>
    <w:rsid w:val="00B77309"/>
    <w:rsid w:val="00B7730F"/>
    <w:rsid w:val="00B774CD"/>
    <w:rsid w:val="00B77534"/>
    <w:rsid w:val="00B7779C"/>
    <w:rsid w:val="00B779C8"/>
    <w:rsid w:val="00B77CF6"/>
    <w:rsid w:val="00B77D89"/>
    <w:rsid w:val="00B801E9"/>
    <w:rsid w:val="00B807B3"/>
    <w:rsid w:val="00B8093A"/>
    <w:rsid w:val="00B80952"/>
    <w:rsid w:val="00B80A0E"/>
    <w:rsid w:val="00B80A68"/>
    <w:rsid w:val="00B80C33"/>
    <w:rsid w:val="00B81077"/>
    <w:rsid w:val="00B81153"/>
    <w:rsid w:val="00B81395"/>
    <w:rsid w:val="00B81513"/>
    <w:rsid w:val="00B81725"/>
    <w:rsid w:val="00B819D6"/>
    <w:rsid w:val="00B81CC5"/>
    <w:rsid w:val="00B81DB0"/>
    <w:rsid w:val="00B8205D"/>
    <w:rsid w:val="00B82100"/>
    <w:rsid w:val="00B82512"/>
    <w:rsid w:val="00B826A2"/>
    <w:rsid w:val="00B82B23"/>
    <w:rsid w:val="00B82CC4"/>
    <w:rsid w:val="00B82E6B"/>
    <w:rsid w:val="00B834B5"/>
    <w:rsid w:val="00B8350D"/>
    <w:rsid w:val="00B83BDC"/>
    <w:rsid w:val="00B83CF7"/>
    <w:rsid w:val="00B8403B"/>
    <w:rsid w:val="00B840F9"/>
    <w:rsid w:val="00B840FE"/>
    <w:rsid w:val="00B84828"/>
    <w:rsid w:val="00B848E1"/>
    <w:rsid w:val="00B84A85"/>
    <w:rsid w:val="00B84E9B"/>
    <w:rsid w:val="00B8501E"/>
    <w:rsid w:val="00B850BC"/>
    <w:rsid w:val="00B85188"/>
    <w:rsid w:val="00B85209"/>
    <w:rsid w:val="00B8562F"/>
    <w:rsid w:val="00B859D0"/>
    <w:rsid w:val="00B859E9"/>
    <w:rsid w:val="00B85B52"/>
    <w:rsid w:val="00B861FE"/>
    <w:rsid w:val="00B86218"/>
    <w:rsid w:val="00B86598"/>
    <w:rsid w:val="00B86783"/>
    <w:rsid w:val="00B86A57"/>
    <w:rsid w:val="00B86E27"/>
    <w:rsid w:val="00B8704E"/>
    <w:rsid w:val="00B87550"/>
    <w:rsid w:val="00B875DF"/>
    <w:rsid w:val="00B8780A"/>
    <w:rsid w:val="00B878B6"/>
    <w:rsid w:val="00B900B2"/>
    <w:rsid w:val="00B90581"/>
    <w:rsid w:val="00B90A74"/>
    <w:rsid w:val="00B90AFD"/>
    <w:rsid w:val="00B910FE"/>
    <w:rsid w:val="00B9166C"/>
    <w:rsid w:val="00B916C4"/>
    <w:rsid w:val="00B91C94"/>
    <w:rsid w:val="00B91CB2"/>
    <w:rsid w:val="00B91DB2"/>
    <w:rsid w:val="00B92119"/>
    <w:rsid w:val="00B927D4"/>
    <w:rsid w:val="00B92B01"/>
    <w:rsid w:val="00B92CE4"/>
    <w:rsid w:val="00B92F40"/>
    <w:rsid w:val="00B932B1"/>
    <w:rsid w:val="00B9388A"/>
    <w:rsid w:val="00B93A8B"/>
    <w:rsid w:val="00B93AD3"/>
    <w:rsid w:val="00B93B07"/>
    <w:rsid w:val="00B93B12"/>
    <w:rsid w:val="00B93BF3"/>
    <w:rsid w:val="00B93D85"/>
    <w:rsid w:val="00B9410B"/>
    <w:rsid w:val="00B94752"/>
    <w:rsid w:val="00B94D32"/>
    <w:rsid w:val="00B95019"/>
    <w:rsid w:val="00B956D7"/>
    <w:rsid w:val="00B95BBF"/>
    <w:rsid w:val="00B96406"/>
    <w:rsid w:val="00B96A0F"/>
    <w:rsid w:val="00B96E00"/>
    <w:rsid w:val="00B97036"/>
    <w:rsid w:val="00B9737E"/>
    <w:rsid w:val="00B973AC"/>
    <w:rsid w:val="00B9763A"/>
    <w:rsid w:val="00B976CD"/>
    <w:rsid w:val="00B97AD4"/>
    <w:rsid w:val="00B97DE1"/>
    <w:rsid w:val="00BA012A"/>
    <w:rsid w:val="00BA0351"/>
    <w:rsid w:val="00BA049B"/>
    <w:rsid w:val="00BA0532"/>
    <w:rsid w:val="00BA0625"/>
    <w:rsid w:val="00BA07B4"/>
    <w:rsid w:val="00BA0817"/>
    <w:rsid w:val="00BA0824"/>
    <w:rsid w:val="00BA09C9"/>
    <w:rsid w:val="00BA0ACF"/>
    <w:rsid w:val="00BA0B9A"/>
    <w:rsid w:val="00BA0BBA"/>
    <w:rsid w:val="00BA0D40"/>
    <w:rsid w:val="00BA13EF"/>
    <w:rsid w:val="00BA186D"/>
    <w:rsid w:val="00BA1AE1"/>
    <w:rsid w:val="00BA1AFC"/>
    <w:rsid w:val="00BA1D4C"/>
    <w:rsid w:val="00BA2107"/>
    <w:rsid w:val="00BA29AA"/>
    <w:rsid w:val="00BA29CC"/>
    <w:rsid w:val="00BA2C77"/>
    <w:rsid w:val="00BA3014"/>
    <w:rsid w:val="00BA3EA4"/>
    <w:rsid w:val="00BA439B"/>
    <w:rsid w:val="00BA43E9"/>
    <w:rsid w:val="00BA43FF"/>
    <w:rsid w:val="00BA4609"/>
    <w:rsid w:val="00BA460C"/>
    <w:rsid w:val="00BA4743"/>
    <w:rsid w:val="00BA4EA9"/>
    <w:rsid w:val="00BA5395"/>
    <w:rsid w:val="00BA563E"/>
    <w:rsid w:val="00BA5E44"/>
    <w:rsid w:val="00BA5F96"/>
    <w:rsid w:val="00BA622C"/>
    <w:rsid w:val="00BA634F"/>
    <w:rsid w:val="00BA6857"/>
    <w:rsid w:val="00BA6A45"/>
    <w:rsid w:val="00BA6ADA"/>
    <w:rsid w:val="00BA6F57"/>
    <w:rsid w:val="00BA719C"/>
    <w:rsid w:val="00BA755C"/>
    <w:rsid w:val="00BA77F1"/>
    <w:rsid w:val="00BA79A4"/>
    <w:rsid w:val="00BA79D8"/>
    <w:rsid w:val="00BA79EC"/>
    <w:rsid w:val="00BB04F8"/>
    <w:rsid w:val="00BB080C"/>
    <w:rsid w:val="00BB0910"/>
    <w:rsid w:val="00BB1618"/>
    <w:rsid w:val="00BB1CA8"/>
    <w:rsid w:val="00BB1E3B"/>
    <w:rsid w:val="00BB21F5"/>
    <w:rsid w:val="00BB2448"/>
    <w:rsid w:val="00BB2521"/>
    <w:rsid w:val="00BB275E"/>
    <w:rsid w:val="00BB283C"/>
    <w:rsid w:val="00BB2C51"/>
    <w:rsid w:val="00BB31ED"/>
    <w:rsid w:val="00BB3417"/>
    <w:rsid w:val="00BB36F0"/>
    <w:rsid w:val="00BB3874"/>
    <w:rsid w:val="00BB3D86"/>
    <w:rsid w:val="00BB4012"/>
    <w:rsid w:val="00BB4486"/>
    <w:rsid w:val="00BB45EF"/>
    <w:rsid w:val="00BB467C"/>
    <w:rsid w:val="00BB468E"/>
    <w:rsid w:val="00BB472F"/>
    <w:rsid w:val="00BB49AC"/>
    <w:rsid w:val="00BB4E7E"/>
    <w:rsid w:val="00BB4FA0"/>
    <w:rsid w:val="00BB51B1"/>
    <w:rsid w:val="00BB529A"/>
    <w:rsid w:val="00BB5485"/>
    <w:rsid w:val="00BB5715"/>
    <w:rsid w:val="00BB5952"/>
    <w:rsid w:val="00BB59D7"/>
    <w:rsid w:val="00BB6428"/>
    <w:rsid w:val="00BB647D"/>
    <w:rsid w:val="00BB64A5"/>
    <w:rsid w:val="00BB65B3"/>
    <w:rsid w:val="00BB6861"/>
    <w:rsid w:val="00BB69CB"/>
    <w:rsid w:val="00BB6A9E"/>
    <w:rsid w:val="00BB6C14"/>
    <w:rsid w:val="00BB7097"/>
    <w:rsid w:val="00BB75E7"/>
    <w:rsid w:val="00BB761D"/>
    <w:rsid w:val="00BB76E3"/>
    <w:rsid w:val="00BB7867"/>
    <w:rsid w:val="00BB7934"/>
    <w:rsid w:val="00BB7AEB"/>
    <w:rsid w:val="00BC00CA"/>
    <w:rsid w:val="00BC0A1F"/>
    <w:rsid w:val="00BC0B3B"/>
    <w:rsid w:val="00BC114F"/>
    <w:rsid w:val="00BC18E6"/>
    <w:rsid w:val="00BC199A"/>
    <w:rsid w:val="00BC1AED"/>
    <w:rsid w:val="00BC1F27"/>
    <w:rsid w:val="00BC2012"/>
    <w:rsid w:val="00BC21E9"/>
    <w:rsid w:val="00BC220B"/>
    <w:rsid w:val="00BC23CB"/>
    <w:rsid w:val="00BC24E1"/>
    <w:rsid w:val="00BC2954"/>
    <w:rsid w:val="00BC2CAD"/>
    <w:rsid w:val="00BC2F26"/>
    <w:rsid w:val="00BC3183"/>
    <w:rsid w:val="00BC34DE"/>
    <w:rsid w:val="00BC36A6"/>
    <w:rsid w:val="00BC36F3"/>
    <w:rsid w:val="00BC3D01"/>
    <w:rsid w:val="00BC3D34"/>
    <w:rsid w:val="00BC3E25"/>
    <w:rsid w:val="00BC3F71"/>
    <w:rsid w:val="00BC40BA"/>
    <w:rsid w:val="00BC41F8"/>
    <w:rsid w:val="00BC4D6A"/>
    <w:rsid w:val="00BC4D8F"/>
    <w:rsid w:val="00BC4D99"/>
    <w:rsid w:val="00BC4F31"/>
    <w:rsid w:val="00BC52EF"/>
    <w:rsid w:val="00BC53EE"/>
    <w:rsid w:val="00BC5AB8"/>
    <w:rsid w:val="00BC5F3F"/>
    <w:rsid w:val="00BC6695"/>
    <w:rsid w:val="00BC6747"/>
    <w:rsid w:val="00BC69B2"/>
    <w:rsid w:val="00BC6D68"/>
    <w:rsid w:val="00BC6E58"/>
    <w:rsid w:val="00BC7048"/>
    <w:rsid w:val="00BC72E8"/>
    <w:rsid w:val="00BC7912"/>
    <w:rsid w:val="00BC7DF5"/>
    <w:rsid w:val="00BD00D5"/>
    <w:rsid w:val="00BD0412"/>
    <w:rsid w:val="00BD0691"/>
    <w:rsid w:val="00BD0A4C"/>
    <w:rsid w:val="00BD0A61"/>
    <w:rsid w:val="00BD0BDC"/>
    <w:rsid w:val="00BD0DC6"/>
    <w:rsid w:val="00BD0FC8"/>
    <w:rsid w:val="00BD10C7"/>
    <w:rsid w:val="00BD1923"/>
    <w:rsid w:val="00BD1A8E"/>
    <w:rsid w:val="00BD1CFD"/>
    <w:rsid w:val="00BD1D07"/>
    <w:rsid w:val="00BD1D83"/>
    <w:rsid w:val="00BD25E6"/>
    <w:rsid w:val="00BD2A3C"/>
    <w:rsid w:val="00BD2CBD"/>
    <w:rsid w:val="00BD2CC1"/>
    <w:rsid w:val="00BD2E12"/>
    <w:rsid w:val="00BD2E62"/>
    <w:rsid w:val="00BD2F68"/>
    <w:rsid w:val="00BD34A4"/>
    <w:rsid w:val="00BD3CEC"/>
    <w:rsid w:val="00BD414A"/>
    <w:rsid w:val="00BD443B"/>
    <w:rsid w:val="00BD4452"/>
    <w:rsid w:val="00BD45FF"/>
    <w:rsid w:val="00BD475A"/>
    <w:rsid w:val="00BD4B08"/>
    <w:rsid w:val="00BD4C42"/>
    <w:rsid w:val="00BD4C45"/>
    <w:rsid w:val="00BD4D24"/>
    <w:rsid w:val="00BD4E9F"/>
    <w:rsid w:val="00BD4F54"/>
    <w:rsid w:val="00BD5306"/>
    <w:rsid w:val="00BD53AE"/>
    <w:rsid w:val="00BD57F1"/>
    <w:rsid w:val="00BD5888"/>
    <w:rsid w:val="00BD5BA7"/>
    <w:rsid w:val="00BD5F9D"/>
    <w:rsid w:val="00BD6572"/>
    <w:rsid w:val="00BD6816"/>
    <w:rsid w:val="00BD6D5B"/>
    <w:rsid w:val="00BD6EDC"/>
    <w:rsid w:val="00BD6F2D"/>
    <w:rsid w:val="00BD7002"/>
    <w:rsid w:val="00BD72E8"/>
    <w:rsid w:val="00BD751D"/>
    <w:rsid w:val="00BD78AB"/>
    <w:rsid w:val="00BD7993"/>
    <w:rsid w:val="00BD7E95"/>
    <w:rsid w:val="00BD7F53"/>
    <w:rsid w:val="00BD7F91"/>
    <w:rsid w:val="00BE0312"/>
    <w:rsid w:val="00BE043D"/>
    <w:rsid w:val="00BE0449"/>
    <w:rsid w:val="00BE0551"/>
    <w:rsid w:val="00BE066F"/>
    <w:rsid w:val="00BE14BC"/>
    <w:rsid w:val="00BE14C7"/>
    <w:rsid w:val="00BE166B"/>
    <w:rsid w:val="00BE19B5"/>
    <w:rsid w:val="00BE1EE6"/>
    <w:rsid w:val="00BE21B9"/>
    <w:rsid w:val="00BE2659"/>
    <w:rsid w:val="00BE2664"/>
    <w:rsid w:val="00BE26E6"/>
    <w:rsid w:val="00BE29AA"/>
    <w:rsid w:val="00BE2C51"/>
    <w:rsid w:val="00BE310F"/>
    <w:rsid w:val="00BE340F"/>
    <w:rsid w:val="00BE37A7"/>
    <w:rsid w:val="00BE3824"/>
    <w:rsid w:val="00BE3979"/>
    <w:rsid w:val="00BE3E5D"/>
    <w:rsid w:val="00BE4EB7"/>
    <w:rsid w:val="00BE539B"/>
    <w:rsid w:val="00BE5CDC"/>
    <w:rsid w:val="00BE5EB6"/>
    <w:rsid w:val="00BE6105"/>
    <w:rsid w:val="00BE6575"/>
    <w:rsid w:val="00BE665D"/>
    <w:rsid w:val="00BE668F"/>
    <w:rsid w:val="00BE6898"/>
    <w:rsid w:val="00BE69CD"/>
    <w:rsid w:val="00BE6CBC"/>
    <w:rsid w:val="00BE6E44"/>
    <w:rsid w:val="00BE72DB"/>
    <w:rsid w:val="00BE76FA"/>
    <w:rsid w:val="00BE7719"/>
    <w:rsid w:val="00BE7D2F"/>
    <w:rsid w:val="00BF009F"/>
    <w:rsid w:val="00BF0624"/>
    <w:rsid w:val="00BF0D4D"/>
    <w:rsid w:val="00BF0E57"/>
    <w:rsid w:val="00BF0EF4"/>
    <w:rsid w:val="00BF1217"/>
    <w:rsid w:val="00BF1744"/>
    <w:rsid w:val="00BF1970"/>
    <w:rsid w:val="00BF1CF0"/>
    <w:rsid w:val="00BF1DBF"/>
    <w:rsid w:val="00BF23D1"/>
    <w:rsid w:val="00BF2B96"/>
    <w:rsid w:val="00BF2C6D"/>
    <w:rsid w:val="00BF3451"/>
    <w:rsid w:val="00BF39E4"/>
    <w:rsid w:val="00BF3BE3"/>
    <w:rsid w:val="00BF3F09"/>
    <w:rsid w:val="00BF3F87"/>
    <w:rsid w:val="00BF40F7"/>
    <w:rsid w:val="00BF41D5"/>
    <w:rsid w:val="00BF438E"/>
    <w:rsid w:val="00BF513B"/>
    <w:rsid w:val="00BF5404"/>
    <w:rsid w:val="00BF5A5E"/>
    <w:rsid w:val="00BF5C59"/>
    <w:rsid w:val="00BF5CD2"/>
    <w:rsid w:val="00BF636A"/>
    <w:rsid w:val="00BF63D2"/>
    <w:rsid w:val="00BF652B"/>
    <w:rsid w:val="00BF6A3F"/>
    <w:rsid w:val="00BF6D2E"/>
    <w:rsid w:val="00BF705F"/>
    <w:rsid w:val="00BF7134"/>
    <w:rsid w:val="00BF74B3"/>
    <w:rsid w:val="00BF7B68"/>
    <w:rsid w:val="00BF7BEF"/>
    <w:rsid w:val="00C001DC"/>
    <w:rsid w:val="00C00351"/>
    <w:rsid w:val="00C0042C"/>
    <w:rsid w:val="00C00447"/>
    <w:rsid w:val="00C005EC"/>
    <w:rsid w:val="00C0064D"/>
    <w:rsid w:val="00C007FD"/>
    <w:rsid w:val="00C00DAA"/>
    <w:rsid w:val="00C00F81"/>
    <w:rsid w:val="00C014F0"/>
    <w:rsid w:val="00C015B2"/>
    <w:rsid w:val="00C019D2"/>
    <w:rsid w:val="00C01D97"/>
    <w:rsid w:val="00C025BF"/>
    <w:rsid w:val="00C02D85"/>
    <w:rsid w:val="00C0303E"/>
    <w:rsid w:val="00C03281"/>
    <w:rsid w:val="00C0328C"/>
    <w:rsid w:val="00C03791"/>
    <w:rsid w:val="00C0398A"/>
    <w:rsid w:val="00C04036"/>
    <w:rsid w:val="00C041EC"/>
    <w:rsid w:val="00C041FC"/>
    <w:rsid w:val="00C043DB"/>
    <w:rsid w:val="00C0446C"/>
    <w:rsid w:val="00C0456E"/>
    <w:rsid w:val="00C0506B"/>
    <w:rsid w:val="00C05103"/>
    <w:rsid w:val="00C05727"/>
    <w:rsid w:val="00C058AF"/>
    <w:rsid w:val="00C05BF6"/>
    <w:rsid w:val="00C06026"/>
    <w:rsid w:val="00C0668A"/>
    <w:rsid w:val="00C067C6"/>
    <w:rsid w:val="00C068CA"/>
    <w:rsid w:val="00C06901"/>
    <w:rsid w:val="00C06F09"/>
    <w:rsid w:val="00C071F2"/>
    <w:rsid w:val="00C07377"/>
    <w:rsid w:val="00C0751A"/>
    <w:rsid w:val="00C076E5"/>
    <w:rsid w:val="00C077E5"/>
    <w:rsid w:val="00C07925"/>
    <w:rsid w:val="00C07B6B"/>
    <w:rsid w:val="00C07BAA"/>
    <w:rsid w:val="00C07BDA"/>
    <w:rsid w:val="00C07C03"/>
    <w:rsid w:val="00C07E5B"/>
    <w:rsid w:val="00C101DF"/>
    <w:rsid w:val="00C105E5"/>
    <w:rsid w:val="00C108D7"/>
    <w:rsid w:val="00C10AC5"/>
    <w:rsid w:val="00C1190F"/>
    <w:rsid w:val="00C11CE3"/>
    <w:rsid w:val="00C12147"/>
    <w:rsid w:val="00C12335"/>
    <w:rsid w:val="00C12442"/>
    <w:rsid w:val="00C1259E"/>
    <w:rsid w:val="00C12AD6"/>
    <w:rsid w:val="00C1370F"/>
    <w:rsid w:val="00C13956"/>
    <w:rsid w:val="00C13E1F"/>
    <w:rsid w:val="00C14C44"/>
    <w:rsid w:val="00C14CEB"/>
    <w:rsid w:val="00C14DC2"/>
    <w:rsid w:val="00C155A4"/>
    <w:rsid w:val="00C1596C"/>
    <w:rsid w:val="00C15B16"/>
    <w:rsid w:val="00C16365"/>
    <w:rsid w:val="00C1641E"/>
    <w:rsid w:val="00C165A0"/>
    <w:rsid w:val="00C1665C"/>
    <w:rsid w:val="00C16A97"/>
    <w:rsid w:val="00C16B3A"/>
    <w:rsid w:val="00C16C1E"/>
    <w:rsid w:val="00C16ED4"/>
    <w:rsid w:val="00C16FAA"/>
    <w:rsid w:val="00C175F6"/>
    <w:rsid w:val="00C17999"/>
    <w:rsid w:val="00C17B33"/>
    <w:rsid w:val="00C17EC1"/>
    <w:rsid w:val="00C17ED7"/>
    <w:rsid w:val="00C2015F"/>
    <w:rsid w:val="00C203CB"/>
    <w:rsid w:val="00C204AF"/>
    <w:rsid w:val="00C206CA"/>
    <w:rsid w:val="00C20916"/>
    <w:rsid w:val="00C20980"/>
    <w:rsid w:val="00C209FB"/>
    <w:rsid w:val="00C20D87"/>
    <w:rsid w:val="00C20F0C"/>
    <w:rsid w:val="00C20FD8"/>
    <w:rsid w:val="00C21092"/>
    <w:rsid w:val="00C213EC"/>
    <w:rsid w:val="00C214E7"/>
    <w:rsid w:val="00C21A24"/>
    <w:rsid w:val="00C21B08"/>
    <w:rsid w:val="00C21C8E"/>
    <w:rsid w:val="00C21CF1"/>
    <w:rsid w:val="00C22025"/>
    <w:rsid w:val="00C22137"/>
    <w:rsid w:val="00C22394"/>
    <w:rsid w:val="00C2247B"/>
    <w:rsid w:val="00C22A17"/>
    <w:rsid w:val="00C22E38"/>
    <w:rsid w:val="00C22F06"/>
    <w:rsid w:val="00C22F0F"/>
    <w:rsid w:val="00C22F4A"/>
    <w:rsid w:val="00C230C4"/>
    <w:rsid w:val="00C230C6"/>
    <w:rsid w:val="00C23F4B"/>
    <w:rsid w:val="00C24153"/>
    <w:rsid w:val="00C2427A"/>
    <w:rsid w:val="00C24367"/>
    <w:rsid w:val="00C243E2"/>
    <w:rsid w:val="00C24487"/>
    <w:rsid w:val="00C24963"/>
    <w:rsid w:val="00C24F0D"/>
    <w:rsid w:val="00C25283"/>
    <w:rsid w:val="00C25438"/>
    <w:rsid w:val="00C25479"/>
    <w:rsid w:val="00C254DF"/>
    <w:rsid w:val="00C25F8D"/>
    <w:rsid w:val="00C2608B"/>
    <w:rsid w:val="00C2625A"/>
    <w:rsid w:val="00C2643C"/>
    <w:rsid w:val="00C2670A"/>
    <w:rsid w:val="00C267F8"/>
    <w:rsid w:val="00C26AEC"/>
    <w:rsid w:val="00C26AFD"/>
    <w:rsid w:val="00C26C79"/>
    <w:rsid w:val="00C26D4D"/>
    <w:rsid w:val="00C26DDE"/>
    <w:rsid w:val="00C26DFA"/>
    <w:rsid w:val="00C27205"/>
    <w:rsid w:val="00C27796"/>
    <w:rsid w:val="00C27ADA"/>
    <w:rsid w:val="00C27F7B"/>
    <w:rsid w:val="00C27FB4"/>
    <w:rsid w:val="00C3005C"/>
    <w:rsid w:val="00C30E2B"/>
    <w:rsid w:val="00C310E5"/>
    <w:rsid w:val="00C31526"/>
    <w:rsid w:val="00C3174C"/>
    <w:rsid w:val="00C319C2"/>
    <w:rsid w:val="00C31BF7"/>
    <w:rsid w:val="00C31ED2"/>
    <w:rsid w:val="00C324D8"/>
    <w:rsid w:val="00C327FB"/>
    <w:rsid w:val="00C32B33"/>
    <w:rsid w:val="00C32BDC"/>
    <w:rsid w:val="00C32C89"/>
    <w:rsid w:val="00C3305A"/>
    <w:rsid w:val="00C3320F"/>
    <w:rsid w:val="00C33559"/>
    <w:rsid w:val="00C33609"/>
    <w:rsid w:val="00C3360B"/>
    <w:rsid w:val="00C33D44"/>
    <w:rsid w:val="00C33D60"/>
    <w:rsid w:val="00C343F8"/>
    <w:rsid w:val="00C34586"/>
    <w:rsid w:val="00C345A4"/>
    <w:rsid w:val="00C3466A"/>
    <w:rsid w:val="00C346B4"/>
    <w:rsid w:val="00C348F6"/>
    <w:rsid w:val="00C34951"/>
    <w:rsid w:val="00C34A08"/>
    <w:rsid w:val="00C34BA4"/>
    <w:rsid w:val="00C34C4B"/>
    <w:rsid w:val="00C34D6F"/>
    <w:rsid w:val="00C3520C"/>
    <w:rsid w:val="00C3557F"/>
    <w:rsid w:val="00C35BCF"/>
    <w:rsid w:val="00C36135"/>
    <w:rsid w:val="00C36195"/>
    <w:rsid w:val="00C36412"/>
    <w:rsid w:val="00C368BE"/>
    <w:rsid w:val="00C36C05"/>
    <w:rsid w:val="00C36C8F"/>
    <w:rsid w:val="00C36DEC"/>
    <w:rsid w:val="00C374BE"/>
    <w:rsid w:val="00C37915"/>
    <w:rsid w:val="00C401B6"/>
    <w:rsid w:val="00C405F4"/>
    <w:rsid w:val="00C40B48"/>
    <w:rsid w:val="00C40EFB"/>
    <w:rsid w:val="00C420F7"/>
    <w:rsid w:val="00C423DF"/>
    <w:rsid w:val="00C4244E"/>
    <w:rsid w:val="00C4287F"/>
    <w:rsid w:val="00C428BA"/>
    <w:rsid w:val="00C42A63"/>
    <w:rsid w:val="00C42BEB"/>
    <w:rsid w:val="00C42EE6"/>
    <w:rsid w:val="00C4307F"/>
    <w:rsid w:val="00C43450"/>
    <w:rsid w:val="00C43E7A"/>
    <w:rsid w:val="00C43F1B"/>
    <w:rsid w:val="00C4438D"/>
    <w:rsid w:val="00C44578"/>
    <w:rsid w:val="00C44591"/>
    <w:rsid w:val="00C44FE6"/>
    <w:rsid w:val="00C45493"/>
    <w:rsid w:val="00C4556C"/>
    <w:rsid w:val="00C457E0"/>
    <w:rsid w:val="00C45AF1"/>
    <w:rsid w:val="00C45E24"/>
    <w:rsid w:val="00C46299"/>
    <w:rsid w:val="00C470FA"/>
    <w:rsid w:val="00C4730B"/>
    <w:rsid w:val="00C47617"/>
    <w:rsid w:val="00C47680"/>
    <w:rsid w:val="00C47C30"/>
    <w:rsid w:val="00C47C90"/>
    <w:rsid w:val="00C47E52"/>
    <w:rsid w:val="00C47FF2"/>
    <w:rsid w:val="00C50349"/>
    <w:rsid w:val="00C5051E"/>
    <w:rsid w:val="00C50809"/>
    <w:rsid w:val="00C5090E"/>
    <w:rsid w:val="00C50C92"/>
    <w:rsid w:val="00C50DCC"/>
    <w:rsid w:val="00C5107A"/>
    <w:rsid w:val="00C51856"/>
    <w:rsid w:val="00C5208E"/>
    <w:rsid w:val="00C52408"/>
    <w:rsid w:val="00C5257B"/>
    <w:rsid w:val="00C52F2F"/>
    <w:rsid w:val="00C53095"/>
    <w:rsid w:val="00C5319E"/>
    <w:rsid w:val="00C533E5"/>
    <w:rsid w:val="00C53A11"/>
    <w:rsid w:val="00C53D9E"/>
    <w:rsid w:val="00C53FEF"/>
    <w:rsid w:val="00C5401F"/>
    <w:rsid w:val="00C54022"/>
    <w:rsid w:val="00C54497"/>
    <w:rsid w:val="00C54558"/>
    <w:rsid w:val="00C54768"/>
    <w:rsid w:val="00C5483F"/>
    <w:rsid w:val="00C5488D"/>
    <w:rsid w:val="00C548AA"/>
    <w:rsid w:val="00C548DF"/>
    <w:rsid w:val="00C54A22"/>
    <w:rsid w:val="00C54C23"/>
    <w:rsid w:val="00C54ED1"/>
    <w:rsid w:val="00C5525B"/>
    <w:rsid w:val="00C554B9"/>
    <w:rsid w:val="00C5561D"/>
    <w:rsid w:val="00C556D3"/>
    <w:rsid w:val="00C5677E"/>
    <w:rsid w:val="00C56A58"/>
    <w:rsid w:val="00C57534"/>
    <w:rsid w:val="00C57725"/>
    <w:rsid w:val="00C5773F"/>
    <w:rsid w:val="00C57E16"/>
    <w:rsid w:val="00C57EFB"/>
    <w:rsid w:val="00C57F44"/>
    <w:rsid w:val="00C60047"/>
    <w:rsid w:val="00C60199"/>
    <w:rsid w:val="00C60237"/>
    <w:rsid w:val="00C60653"/>
    <w:rsid w:val="00C60AAF"/>
    <w:rsid w:val="00C61022"/>
    <w:rsid w:val="00C6135B"/>
    <w:rsid w:val="00C6192A"/>
    <w:rsid w:val="00C6198E"/>
    <w:rsid w:val="00C61E7C"/>
    <w:rsid w:val="00C62325"/>
    <w:rsid w:val="00C6232B"/>
    <w:rsid w:val="00C626E5"/>
    <w:rsid w:val="00C629AE"/>
    <w:rsid w:val="00C62B77"/>
    <w:rsid w:val="00C62B95"/>
    <w:rsid w:val="00C63142"/>
    <w:rsid w:val="00C632E6"/>
    <w:rsid w:val="00C63360"/>
    <w:rsid w:val="00C63470"/>
    <w:rsid w:val="00C63542"/>
    <w:rsid w:val="00C63805"/>
    <w:rsid w:val="00C6389B"/>
    <w:rsid w:val="00C638A8"/>
    <w:rsid w:val="00C63A30"/>
    <w:rsid w:val="00C63BB5"/>
    <w:rsid w:val="00C63BB9"/>
    <w:rsid w:val="00C63CEE"/>
    <w:rsid w:val="00C63DBC"/>
    <w:rsid w:val="00C63E47"/>
    <w:rsid w:val="00C63F68"/>
    <w:rsid w:val="00C6412C"/>
    <w:rsid w:val="00C64211"/>
    <w:rsid w:val="00C642B2"/>
    <w:rsid w:val="00C64AD0"/>
    <w:rsid w:val="00C64BC1"/>
    <w:rsid w:val="00C65085"/>
    <w:rsid w:val="00C650FC"/>
    <w:rsid w:val="00C65250"/>
    <w:rsid w:val="00C652DE"/>
    <w:rsid w:val="00C65577"/>
    <w:rsid w:val="00C65988"/>
    <w:rsid w:val="00C65A90"/>
    <w:rsid w:val="00C65C66"/>
    <w:rsid w:val="00C65FC2"/>
    <w:rsid w:val="00C66144"/>
    <w:rsid w:val="00C666E4"/>
    <w:rsid w:val="00C6772D"/>
    <w:rsid w:val="00C67873"/>
    <w:rsid w:val="00C67D72"/>
    <w:rsid w:val="00C7000F"/>
    <w:rsid w:val="00C703A1"/>
    <w:rsid w:val="00C7053D"/>
    <w:rsid w:val="00C70998"/>
    <w:rsid w:val="00C70A0E"/>
    <w:rsid w:val="00C70F74"/>
    <w:rsid w:val="00C71601"/>
    <w:rsid w:val="00C717A6"/>
    <w:rsid w:val="00C71949"/>
    <w:rsid w:val="00C71ADB"/>
    <w:rsid w:val="00C72067"/>
    <w:rsid w:val="00C724D6"/>
    <w:rsid w:val="00C7259C"/>
    <w:rsid w:val="00C725AA"/>
    <w:rsid w:val="00C72984"/>
    <w:rsid w:val="00C72C69"/>
    <w:rsid w:val="00C73534"/>
    <w:rsid w:val="00C73672"/>
    <w:rsid w:val="00C741E7"/>
    <w:rsid w:val="00C7421C"/>
    <w:rsid w:val="00C742F8"/>
    <w:rsid w:val="00C743A3"/>
    <w:rsid w:val="00C744FD"/>
    <w:rsid w:val="00C7464D"/>
    <w:rsid w:val="00C749E7"/>
    <w:rsid w:val="00C74B1A"/>
    <w:rsid w:val="00C7501E"/>
    <w:rsid w:val="00C75415"/>
    <w:rsid w:val="00C7542C"/>
    <w:rsid w:val="00C7592E"/>
    <w:rsid w:val="00C75B9B"/>
    <w:rsid w:val="00C76019"/>
    <w:rsid w:val="00C76046"/>
    <w:rsid w:val="00C76E89"/>
    <w:rsid w:val="00C7740F"/>
    <w:rsid w:val="00C77454"/>
    <w:rsid w:val="00C77703"/>
    <w:rsid w:val="00C777DC"/>
    <w:rsid w:val="00C77934"/>
    <w:rsid w:val="00C77C65"/>
    <w:rsid w:val="00C8008A"/>
    <w:rsid w:val="00C80705"/>
    <w:rsid w:val="00C80978"/>
    <w:rsid w:val="00C80A24"/>
    <w:rsid w:val="00C80A9A"/>
    <w:rsid w:val="00C8111F"/>
    <w:rsid w:val="00C811BD"/>
    <w:rsid w:val="00C812D7"/>
    <w:rsid w:val="00C813D7"/>
    <w:rsid w:val="00C81441"/>
    <w:rsid w:val="00C815DF"/>
    <w:rsid w:val="00C817E1"/>
    <w:rsid w:val="00C819FA"/>
    <w:rsid w:val="00C81E0B"/>
    <w:rsid w:val="00C821E5"/>
    <w:rsid w:val="00C8285D"/>
    <w:rsid w:val="00C82915"/>
    <w:rsid w:val="00C82B60"/>
    <w:rsid w:val="00C8319F"/>
    <w:rsid w:val="00C832EC"/>
    <w:rsid w:val="00C83A03"/>
    <w:rsid w:val="00C83BFB"/>
    <w:rsid w:val="00C83E01"/>
    <w:rsid w:val="00C84429"/>
    <w:rsid w:val="00C8455F"/>
    <w:rsid w:val="00C8469C"/>
    <w:rsid w:val="00C846EA"/>
    <w:rsid w:val="00C84C8D"/>
    <w:rsid w:val="00C84E19"/>
    <w:rsid w:val="00C84EC8"/>
    <w:rsid w:val="00C84F38"/>
    <w:rsid w:val="00C8519A"/>
    <w:rsid w:val="00C855DE"/>
    <w:rsid w:val="00C858F6"/>
    <w:rsid w:val="00C85C2A"/>
    <w:rsid w:val="00C85E20"/>
    <w:rsid w:val="00C85EBF"/>
    <w:rsid w:val="00C85EEF"/>
    <w:rsid w:val="00C867C2"/>
    <w:rsid w:val="00C868CF"/>
    <w:rsid w:val="00C86AC0"/>
    <w:rsid w:val="00C87258"/>
    <w:rsid w:val="00C874F6"/>
    <w:rsid w:val="00C87C70"/>
    <w:rsid w:val="00C87D61"/>
    <w:rsid w:val="00C87E22"/>
    <w:rsid w:val="00C90015"/>
    <w:rsid w:val="00C9011C"/>
    <w:rsid w:val="00C903DB"/>
    <w:rsid w:val="00C904A9"/>
    <w:rsid w:val="00C907EE"/>
    <w:rsid w:val="00C90977"/>
    <w:rsid w:val="00C90B30"/>
    <w:rsid w:val="00C90BDF"/>
    <w:rsid w:val="00C90CD8"/>
    <w:rsid w:val="00C90F1F"/>
    <w:rsid w:val="00C90F50"/>
    <w:rsid w:val="00C9128A"/>
    <w:rsid w:val="00C91290"/>
    <w:rsid w:val="00C912F2"/>
    <w:rsid w:val="00C9175D"/>
    <w:rsid w:val="00C91FDD"/>
    <w:rsid w:val="00C92123"/>
    <w:rsid w:val="00C92228"/>
    <w:rsid w:val="00C92350"/>
    <w:rsid w:val="00C9289E"/>
    <w:rsid w:val="00C929B2"/>
    <w:rsid w:val="00C92B07"/>
    <w:rsid w:val="00C9310A"/>
    <w:rsid w:val="00C936DA"/>
    <w:rsid w:val="00C936E2"/>
    <w:rsid w:val="00C93C4B"/>
    <w:rsid w:val="00C9479B"/>
    <w:rsid w:val="00C948B0"/>
    <w:rsid w:val="00C94D43"/>
    <w:rsid w:val="00C95329"/>
    <w:rsid w:val="00C95355"/>
    <w:rsid w:val="00C95379"/>
    <w:rsid w:val="00C954FF"/>
    <w:rsid w:val="00C95802"/>
    <w:rsid w:val="00C95A8D"/>
    <w:rsid w:val="00C95B38"/>
    <w:rsid w:val="00C95E88"/>
    <w:rsid w:val="00C95FBC"/>
    <w:rsid w:val="00C96423"/>
    <w:rsid w:val="00C964EE"/>
    <w:rsid w:val="00C96719"/>
    <w:rsid w:val="00C9691D"/>
    <w:rsid w:val="00C96979"/>
    <w:rsid w:val="00C96CC5"/>
    <w:rsid w:val="00C96CE2"/>
    <w:rsid w:val="00C97603"/>
    <w:rsid w:val="00C976EE"/>
    <w:rsid w:val="00C97AB0"/>
    <w:rsid w:val="00C97E62"/>
    <w:rsid w:val="00C97F3C"/>
    <w:rsid w:val="00C97F64"/>
    <w:rsid w:val="00C97FDA"/>
    <w:rsid w:val="00CA0136"/>
    <w:rsid w:val="00CA0608"/>
    <w:rsid w:val="00CA06FB"/>
    <w:rsid w:val="00CA0A2D"/>
    <w:rsid w:val="00CA0D54"/>
    <w:rsid w:val="00CA1089"/>
    <w:rsid w:val="00CA1355"/>
    <w:rsid w:val="00CA184B"/>
    <w:rsid w:val="00CA1B29"/>
    <w:rsid w:val="00CA1CE9"/>
    <w:rsid w:val="00CA1F63"/>
    <w:rsid w:val="00CA2623"/>
    <w:rsid w:val="00CA27E8"/>
    <w:rsid w:val="00CA29A9"/>
    <w:rsid w:val="00CA2FDC"/>
    <w:rsid w:val="00CA324B"/>
    <w:rsid w:val="00CA3293"/>
    <w:rsid w:val="00CA32D2"/>
    <w:rsid w:val="00CA33AE"/>
    <w:rsid w:val="00CA3523"/>
    <w:rsid w:val="00CA37A2"/>
    <w:rsid w:val="00CA38DC"/>
    <w:rsid w:val="00CA3C06"/>
    <w:rsid w:val="00CA3EE3"/>
    <w:rsid w:val="00CA43B1"/>
    <w:rsid w:val="00CA4683"/>
    <w:rsid w:val="00CA4DD3"/>
    <w:rsid w:val="00CA5239"/>
    <w:rsid w:val="00CA58A0"/>
    <w:rsid w:val="00CA5A07"/>
    <w:rsid w:val="00CA5AC8"/>
    <w:rsid w:val="00CA5C1A"/>
    <w:rsid w:val="00CA5CE9"/>
    <w:rsid w:val="00CA6582"/>
    <w:rsid w:val="00CA68A0"/>
    <w:rsid w:val="00CA6DFB"/>
    <w:rsid w:val="00CA734B"/>
    <w:rsid w:val="00CA7DF8"/>
    <w:rsid w:val="00CB00CE"/>
    <w:rsid w:val="00CB03DE"/>
    <w:rsid w:val="00CB043C"/>
    <w:rsid w:val="00CB1BAC"/>
    <w:rsid w:val="00CB1D37"/>
    <w:rsid w:val="00CB1D70"/>
    <w:rsid w:val="00CB2399"/>
    <w:rsid w:val="00CB25A4"/>
    <w:rsid w:val="00CB27AD"/>
    <w:rsid w:val="00CB29B8"/>
    <w:rsid w:val="00CB2A0E"/>
    <w:rsid w:val="00CB2C7E"/>
    <w:rsid w:val="00CB2E09"/>
    <w:rsid w:val="00CB309A"/>
    <w:rsid w:val="00CB3789"/>
    <w:rsid w:val="00CB3877"/>
    <w:rsid w:val="00CB4217"/>
    <w:rsid w:val="00CB47B4"/>
    <w:rsid w:val="00CB48BD"/>
    <w:rsid w:val="00CB49E9"/>
    <w:rsid w:val="00CB4AE0"/>
    <w:rsid w:val="00CB4BC7"/>
    <w:rsid w:val="00CB4EDC"/>
    <w:rsid w:val="00CB4F33"/>
    <w:rsid w:val="00CB532E"/>
    <w:rsid w:val="00CB56FF"/>
    <w:rsid w:val="00CB5BDF"/>
    <w:rsid w:val="00CB5E0C"/>
    <w:rsid w:val="00CB6043"/>
    <w:rsid w:val="00CB6213"/>
    <w:rsid w:val="00CB6581"/>
    <w:rsid w:val="00CB6A13"/>
    <w:rsid w:val="00CB7280"/>
    <w:rsid w:val="00CB72D0"/>
    <w:rsid w:val="00CB72DA"/>
    <w:rsid w:val="00CB77A2"/>
    <w:rsid w:val="00CB788E"/>
    <w:rsid w:val="00CC02B3"/>
    <w:rsid w:val="00CC0360"/>
    <w:rsid w:val="00CC0782"/>
    <w:rsid w:val="00CC0A13"/>
    <w:rsid w:val="00CC0DF0"/>
    <w:rsid w:val="00CC0E73"/>
    <w:rsid w:val="00CC0FE6"/>
    <w:rsid w:val="00CC1CA7"/>
    <w:rsid w:val="00CC1F95"/>
    <w:rsid w:val="00CC1FE8"/>
    <w:rsid w:val="00CC2204"/>
    <w:rsid w:val="00CC22A3"/>
    <w:rsid w:val="00CC2541"/>
    <w:rsid w:val="00CC2B66"/>
    <w:rsid w:val="00CC30A1"/>
    <w:rsid w:val="00CC370D"/>
    <w:rsid w:val="00CC37FA"/>
    <w:rsid w:val="00CC3917"/>
    <w:rsid w:val="00CC39D1"/>
    <w:rsid w:val="00CC3CAB"/>
    <w:rsid w:val="00CC4326"/>
    <w:rsid w:val="00CC4575"/>
    <w:rsid w:val="00CC4967"/>
    <w:rsid w:val="00CC4D85"/>
    <w:rsid w:val="00CC4EFA"/>
    <w:rsid w:val="00CC511C"/>
    <w:rsid w:val="00CC5638"/>
    <w:rsid w:val="00CC58EF"/>
    <w:rsid w:val="00CC5EB4"/>
    <w:rsid w:val="00CC63D2"/>
    <w:rsid w:val="00CC648F"/>
    <w:rsid w:val="00CC675B"/>
    <w:rsid w:val="00CC6BAB"/>
    <w:rsid w:val="00CC6C2C"/>
    <w:rsid w:val="00CC708A"/>
    <w:rsid w:val="00CC780D"/>
    <w:rsid w:val="00CC7937"/>
    <w:rsid w:val="00CC7966"/>
    <w:rsid w:val="00CC7BE2"/>
    <w:rsid w:val="00CC7EFF"/>
    <w:rsid w:val="00CC7FA5"/>
    <w:rsid w:val="00CD04A0"/>
    <w:rsid w:val="00CD0AD3"/>
    <w:rsid w:val="00CD0BFE"/>
    <w:rsid w:val="00CD0F1F"/>
    <w:rsid w:val="00CD1438"/>
    <w:rsid w:val="00CD1664"/>
    <w:rsid w:val="00CD1715"/>
    <w:rsid w:val="00CD17A3"/>
    <w:rsid w:val="00CD17E8"/>
    <w:rsid w:val="00CD1BDC"/>
    <w:rsid w:val="00CD1F1F"/>
    <w:rsid w:val="00CD1FE3"/>
    <w:rsid w:val="00CD1FEF"/>
    <w:rsid w:val="00CD2195"/>
    <w:rsid w:val="00CD31FD"/>
    <w:rsid w:val="00CD344C"/>
    <w:rsid w:val="00CD34A1"/>
    <w:rsid w:val="00CD3531"/>
    <w:rsid w:val="00CD38CE"/>
    <w:rsid w:val="00CD3965"/>
    <w:rsid w:val="00CD3AE6"/>
    <w:rsid w:val="00CD3B17"/>
    <w:rsid w:val="00CD3CC8"/>
    <w:rsid w:val="00CD3E4F"/>
    <w:rsid w:val="00CD4083"/>
    <w:rsid w:val="00CD4856"/>
    <w:rsid w:val="00CD51C1"/>
    <w:rsid w:val="00CD5328"/>
    <w:rsid w:val="00CD5773"/>
    <w:rsid w:val="00CD5BF1"/>
    <w:rsid w:val="00CD5C0D"/>
    <w:rsid w:val="00CD5E02"/>
    <w:rsid w:val="00CD60AE"/>
    <w:rsid w:val="00CD669F"/>
    <w:rsid w:val="00CD692B"/>
    <w:rsid w:val="00CD6CE6"/>
    <w:rsid w:val="00CD6D46"/>
    <w:rsid w:val="00CD6E81"/>
    <w:rsid w:val="00CD72E2"/>
    <w:rsid w:val="00CD7423"/>
    <w:rsid w:val="00CE0500"/>
    <w:rsid w:val="00CE0640"/>
    <w:rsid w:val="00CE06AF"/>
    <w:rsid w:val="00CE0765"/>
    <w:rsid w:val="00CE08FD"/>
    <w:rsid w:val="00CE0D76"/>
    <w:rsid w:val="00CE1189"/>
    <w:rsid w:val="00CE11C5"/>
    <w:rsid w:val="00CE1408"/>
    <w:rsid w:val="00CE16C3"/>
    <w:rsid w:val="00CE2213"/>
    <w:rsid w:val="00CE2B40"/>
    <w:rsid w:val="00CE2C9E"/>
    <w:rsid w:val="00CE2F0A"/>
    <w:rsid w:val="00CE300D"/>
    <w:rsid w:val="00CE315D"/>
    <w:rsid w:val="00CE324B"/>
    <w:rsid w:val="00CE3269"/>
    <w:rsid w:val="00CE33BA"/>
    <w:rsid w:val="00CE345F"/>
    <w:rsid w:val="00CE361B"/>
    <w:rsid w:val="00CE376E"/>
    <w:rsid w:val="00CE384D"/>
    <w:rsid w:val="00CE4533"/>
    <w:rsid w:val="00CE4A8C"/>
    <w:rsid w:val="00CE4CB5"/>
    <w:rsid w:val="00CE5233"/>
    <w:rsid w:val="00CE5441"/>
    <w:rsid w:val="00CE5897"/>
    <w:rsid w:val="00CE596B"/>
    <w:rsid w:val="00CE5BC8"/>
    <w:rsid w:val="00CE5D3A"/>
    <w:rsid w:val="00CE5FB3"/>
    <w:rsid w:val="00CE5FE6"/>
    <w:rsid w:val="00CE663C"/>
    <w:rsid w:val="00CE69C8"/>
    <w:rsid w:val="00CE6E95"/>
    <w:rsid w:val="00CE6ECC"/>
    <w:rsid w:val="00CE7179"/>
    <w:rsid w:val="00CE74A1"/>
    <w:rsid w:val="00CE7624"/>
    <w:rsid w:val="00CE798B"/>
    <w:rsid w:val="00CE7F18"/>
    <w:rsid w:val="00CE7FA7"/>
    <w:rsid w:val="00CF0312"/>
    <w:rsid w:val="00CF0501"/>
    <w:rsid w:val="00CF0990"/>
    <w:rsid w:val="00CF0CF1"/>
    <w:rsid w:val="00CF0FB4"/>
    <w:rsid w:val="00CF1089"/>
    <w:rsid w:val="00CF11BB"/>
    <w:rsid w:val="00CF1683"/>
    <w:rsid w:val="00CF1C56"/>
    <w:rsid w:val="00CF1CB9"/>
    <w:rsid w:val="00CF1E4F"/>
    <w:rsid w:val="00CF2274"/>
    <w:rsid w:val="00CF22DD"/>
    <w:rsid w:val="00CF2359"/>
    <w:rsid w:val="00CF2541"/>
    <w:rsid w:val="00CF25C1"/>
    <w:rsid w:val="00CF25FB"/>
    <w:rsid w:val="00CF2610"/>
    <w:rsid w:val="00CF2626"/>
    <w:rsid w:val="00CF27D8"/>
    <w:rsid w:val="00CF2854"/>
    <w:rsid w:val="00CF289E"/>
    <w:rsid w:val="00CF2F5A"/>
    <w:rsid w:val="00CF33AA"/>
    <w:rsid w:val="00CF3805"/>
    <w:rsid w:val="00CF384C"/>
    <w:rsid w:val="00CF3A9A"/>
    <w:rsid w:val="00CF3AAC"/>
    <w:rsid w:val="00CF3E0B"/>
    <w:rsid w:val="00CF4235"/>
    <w:rsid w:val="00CF43AE"/>
    <w:rsid w:val="00CF48F2"/>
    <w:rsid w:val="00CF4B4B"/>
    <w:rsid w:val="00CF4BF1"/>
    <w:rsid w:val="00CF4D08"/>
    <w:rsid w:val="00CF4DD8"/>
    <w:rsid w:val="00CF5544"/>
    <w:rsid w:val="00CF5D6B"/>
    <w:rsid w:val="00CF5E27"/>
    <w:rsid w:val="00CF5F01"/>
    <w:rsid w:val="00CF5F58"/>
    <w:rsid w:val="00CF6749"/>
    <w:rsid w:val="00CF69B3"/>
    <w:rsid w:val="00CF6C65"/>
    <w:rsid w:val="00CF6C85"/>
    <w:rsid w:val="00CF7080"/>
    <w:rsid w:val="00CF7212"/>
    <w:rsid w:val="00CF733D"/>
    <w:rsid w:val="00CF73CF"/>
    <w:rsid w:val="00CF7417"/>
    <w:rsid w:val="00CF74C9"/>
    <w:rsid w:val="00CF7A81"/>
    <w:rsid w:val="00CF7F5B"/>
    <w:rsid w:val="00CF7FF3"/>
    <w:rsid w:val="00D0086E"/>
    <w:rsid w:val="00D00E1F"/>
    <w:rsid w:val="00D012F7"/>
    <w:rsid w:val="00D01650"/>
    <w:rsid w:val="00D016C4"/>
    <w:rsid w:val="00D01D4E"/>
    <w:rsid w:val="00D01D63"/>
    <w:rsid w:val="00D020B7"/>
    <w:rsid w:val="00D02191"/>
    <w:rsid w:val="00D0229F"/>
    <w:rsid w:val="00D026FB"/>
    <w:rsid w:val="00D02747"/>
    <w:rsid w:val="00D03124"/>
    <w:rsid w:val="00D0319F"/>
    <w:rsid w:val="00D03242"/>
    <w:rsid w:val="00D0333A"/>
    <w:rsid w:val="00D03500"/>
    <w:rsid w:val="00D036FA"/>
    <w:rsid w:val="00D03730"/>
    <w:rsid w:val="00D03857"/>
    <w:rsid w:val="00D038A8"/>
    <w:rsid w:val="00D039E8"/>
    <w:rsid w:val="00D03CAC"/>
    <w:rsid w:val="00D044F5"/>
    <w:rsid w:val="00D0461A"/>
    <w:rsid w:val="00D0484F"/>
    <w:rsid w:val="00D04B3C"/>
    <w:rsid w:val="00D050E9"/>
    <w:rsid w:val="00D05101"/>
    <w:rsid w:val="00D053CC"/>
    <w:rsid w:val="00D05AF6"/>
    <w:rsid w:val="00D05F1F"/>
    <w:rsid w:val="00D06011"/>
    <w:rsid w:val="00D06371"/>
    <w:rsid w:val="00D067C0"/>
    <w:rsid w:val="00D06931"/>
    <w:rsid w:val="00D07767"/>
    <w:rsid w:val="00D07855"/>
    <w:rsid w:val="00D07858"/>
    <w:rsid w:val="00D07CF8"/>
    <w:rsid w:val="00D10866"/>
    <w:rsid w:val="00D10A2A"/>
    <w:rsid w:val="00D11253"/>
    <w:rsid w:val="00D11809"/>
    <w:rsid w:val="00D120D3"/>
    <w:rsid w:val="00D12281"/>
    <w:rsid w:val="00D1251E"/>
    <w:rsid w:val="00D1266B"/>
    <w:rsid w:val="00D12CEA"/>
    <w:rsid w:val="00D12DCF"/>
    <w:rsid w:val="00D12FDD"/>
    <w:rsid w:val="00D131D3"/>
    <w:rsid w:val="00D139DE"/>
    <w:rsid w:val="00D13C26"/>
    <w:rsid w:val="00D13D36"/>
    <w:rsid w:val="00D13DD8"/>
    <w:rsid w:val="00D141E7"/>
    <w:rsid w:val="00D14246"/>
    <w:rsid w:val="00D14279"/>
    <w:rsid w:val="00D14451"/>
    <w:rsid w:val="00D14B66"/>
    <w:rsid w:val="00D14C62"/>
    <w:rsid w:val="00D151F0"/>
    <w:rsid w:val="00D15230"/>
    <w:rsid w:val="00D154B9"/>
    <w:rsid w:val="00D15958"/>
    <w:rsid w:val="00D15ABB"/>
    <w:rsid w:val="00D15C78"/>
    <w:rsid w:val="00D15CF7"/>
    <w:rsid w:val="00D15D2C"/>
    <w:rsid w:val="00D15F81"/>
    <w:rsid w:val="00D16032"/>
    <w:rsid w:val="00D161D3"/>
    <w:rsid w:val="00D161F2"/>
    <w:rsid w:val="00D167DD"/>
    <w:rsid w:val="00D1686E"/>
    <w:rsid w:val="00D16ACE"/>
    <w:rsid w:val="00D16BB8"/>
    <w:rsid w:val="00D16C3A"/>
    <w:rsid w:val="00D179F1"/>
    <w:rsid w:val="00D17ACD"/>
    <w:rsid w:val="00D2020B"/>
    <w:rsid w:val="00D2129E"/>
    <w:rsid w:val="00D2140C"/>
    <w:rsid w:val="00D2168F"/>
    <w:rsid w:val="00D2190B"/>
    <w:rsid w:val="00D21961"/>
    <w:rsid w:val="00D21B01"/>
    <w:rsid w:val="00D21BAE"/>
    <w:rsid w:val="00D21CEC"/>
    <w:rsid w:val="00D22427"/>
    <w:rsid w:val="00D22996"/>
    <w:rsid w:val="00D22F9F"/>
    <w:rsid w:val="00D2324C"/>
    <w:rsid w:val="00D232A6"/>
    <w:rsid w:val="00D233B9"/>
    <w:rsid w:val="00D23586"/>
    <w:rsid w:val="00D23694"/>
    <w:rsid w:val="00D238A2"/>
    <w:rsid w:val="00D246A5"/>
    <w:rsid w:val="00D2498D"/>
    <w:rsid w:val="00D24A49"/>
    <w:rsid w:val="00D24A60"/>
    <w:rsid w:val="00D24A90"/>
    <w:rsid w:val="00D24DAD"/>
    <w:rsid w:val="00D25103"/>
    <w:rsid w:val="00D2522B"/>
    <w:rsid w:val="00D252D7"/>
    <w:rsid w:val="00D2554A"/>
    <w:rsid w:val="00D255CF"/>
    <w:rsid w:val="00D258BD"/>
    <w:rsid w:val="00D25FED"/>
    <w:rsid w:val="00D266A9"/>
    <w:rsid w:val="00D268F6"/>
    <w:rsid w:val="00D269C1"/>
    <w:rsid w:val="00D26B8C"/>
    <w:rsid w:val="00D26CCF"/>
    <w:rsid w:val="00D26D10"/>
    <w:rsid w:val="00D26D33"/>
    <w:rsid w:val="00D27C5A"/>
    <w:rsid w:val="00D27F15"/>
    <w:rsid w:val="00D27F6E"/>
    <w:rsid w:val="00D30317"/>
    <w:rsid w:val="00D30895"/>
    <w:rsid w:val="00D30960"/>
    <w:rsid w:val="00D30B8A"/>
    <w:rsid w:val="00D31098"/>
    <w:rsid w:val="00D315E5"/>
    <w:rsid w:val="00D31C15"/>
    <w:rsid w:val="00D31C6C"/>
    <w:rsid w:val="00D31D5F"/>
    <w:rsid w:val="00D32564"/>
    <w:rsid w:val="00D3260A"/>
    <w:rsid w:val="00D32686"/>
    <w:rsid w:val="00D326A4"/>
    <w:rsid w:val="00D32799"/>
    <w:rsid w:val="00D330BE"/>
    <w:rsid w:val="00D331E5"/>
    <w:rsid w:val="00D332E3"/>
    <w:rsid w:val="00D33986"/>
    <w:rsid w:val="00D34021"/>
    <w:rsid w:val="00D346D5"/>
    <w:rsid w:val="00D349C0"/>
    <w:rsid w:val="00D34B1D"/>
    <w:rsid w:val="00D34BC0"/>
    <w:rsid w:val="00D35397"/>
    <w:rsid w:val="00D3585F"/>
    <w:rsid w:val="00D3595E"/>
    <w:rsid w:val="00D35A07"/>
    <w:rsid w:val="00D35C36"/>
    <w:rsid w:val="00D35CDF"/>
    <w:rsid w:val="00D3702A"/>
    <w:rsid w:val="00D3768C"/>
    <w:rsid w:val="00D3776D"/>
    <w:rsid w:val="00D3779B"/>
    <w:rsid w:val="00D3790E"/>
    <w:rsid w:val="00D37AF3"/>
    <w:rsid w:val="00D403D1"/>
    <w:rsid w:val="00D40486"/>
    <w:rsid w:val="00D4064F"/>
    <w:rsid w:val="00D40665"/>
    <w:rsid w:val="00D40C8B"/>
    <w:rsid w:val="00D40F6D"/>
    <w:rsid w:val="00D410E1"/>
    <w:rsid w:val="00D41386"/>
    <w:rsid w:val="00D416C2"/>
    <w:rsid w:val="00D416D4"/>
    <w:rsid w:val="00D4184F"/>
    <w:rsid w:val="00D41C23"/>
    <w:rsid w:val="00D41D2C"/>
    <w:rsid w:val="00D41E3C"/>
    <w:rsid w:val="00D4201D"/>
    <w:rsid w:val="00D42044"/>
    <w:rsid w:val="00D424B9"/>
    <w:rsid w:val="00D4263C"/>
    <w:rsid w:val="00D42868"/>
    <w:rsid w:val="00D4289D"/>
    <w:rsid w:val="00D42AB5"/>
    <w:rsid w:val="00D42DFD"/>
    <w:rsid w:val="00D42E60"/>
    <w:rsid w:val="00D43593"/>
    <w:rsid w:val="00D4362E"/>
    <w:rsid w:val="00D43650"/>
    <w:rsid w:val="00D437B0"/>
    <w:rsid w:val="00D447CA"/>
    <w:rsid w:val="00D44F20"/>
    <w:rsid w:val="00D4517C"/>
    <w:rsid w:val="00D45413"/>
    <w:rsid w:val="00D4562A"/>
    <w:rsid w:val="00D45DCD"/>
    <w:rsid w:val="00D45E47"/>
    <w:rsid w:val="00D45FB0"/>
    <w:rsid w:val="00D46112"/>
    <w:rsid w:val="00D46172"/>
    <w:rsid w:val="00D46198"/>
    <w:rsid w:val="00D46694"/>
    <w:rsid w:val="00D4679A"/>
    <w:rsid w:val="00D46C43"/>
    <w:rsid w:val="00D4718D"/>
    <w:rsid w:val="00D47859"/>
    <w:rsid w:val="00D47AFA"/>
    <w:rsid w:val="00D47E01"/>
    <w:rsid w:val="00D50173"/>
    <w:rsid w:val="00D50293"/>
    <w:rsid w:val="00D50706"/>
    <w:rsid w:val="00D50752"/>
    <w:rsid w:val="00D50913"/>
    <w:rsid w:val="00D51257"/>
    <w:rsid w:val="00D51382"/>
    <w:rsid w:val="00D515A4"/>
    <w:rsid w:val="00D51629"/>
    <w:rsid w:val="00D51859"/>
    <w:rsid w:val="00D51F2D"/>
    <w:rsid w:val="00D51F32"/>
    <w:rsid w:val="00D520A1"/>
    <w:rsid w:val="00D52181"/>
    <w:rsid w:val="00D53378"/>
    <w:rsid w:val="00D537F3"/>
    <w:rsid w:val="00D53A9C"/>
    <w:rsid w:val="00D53DA1"/>
    <w:rsid w:val="00D54190"/>
    <w:rsid w:val="00D543C8"/>
    <w:rsid w:val="00D5455C"/>
    <w:rsid w:val="00D54C5D"/>
    <w:rsid w:val="00D54EFA"/>
    <w:rsid w:val="00D559FF"/>
    <w:rsid w:val="00D55EBB"/>
    <w:rsid w:val="00D55FA9"/>
    <w:rsid w:val="00D561B3"/>
    <w:rsid w:val="00D563A1"/>
    <w:rsid w:val="00D563BB"/>
    <w:rsid w:val="00D56724"/>
    <w:rsid w:val="00D5698E"/>
    <w:rsid w:val="00D56BC3"/>
    <w:rsid w:val="00D56C09"/>
    <w:rsid w:val="00D571F2"/>
    <w:rsid w:val="00D57718"/>
    <w:rsid w:val="00D57933"/>
    <w:rsid w:val="00D57DEA"/>
    <w:rsid w:val="00D57FD7"/>
    <w:rsid w:val="00D609D2"/>
    <w:rsid w:val="00D61D1E"/>
    <w:rsid w:val="00D61E23"/>
    <w:rsid w:val="00D6239E"/>
    <w:rsid w:val="00D627B9"/>
    <w:rsid w:val="00D6290B"/>
    <w:rsid w:val="00D630E1"/>
    <w:rsid w:val="00D63317"/>
    <w:rsid w:val="00D636E7"/>
    <w:rsid w:val="00D63D3E"/>
    <w:rsid w:val="00D63D41"/>
    <w:rsid w:val="00D6413E"/>
    <w:rsid w:val="00D64783"/>
    <w:rsid w:val="00D64832"/>
    <w:rsid w:val="00D6486E"/>
    <w:rsid w:val="00D65360"/>
    <w:rsid w:val="00D653EE"/>
    <w:rsid w:val="00D654E7"/>
    <w:rsid w:val="00D65591"/>
    <w:rsid w:val="00D65632"/>
    <w:rsid w:val="00D65A97"/>
    <w:rsid w:val="00D65AF6"/>
    <w:rsid w:val="00D65D43"/>
    <w:rsid w:val="00D66347"/>
    <w:rsid w:val="00D665A6"/>
    <w:rsid w:val="00D6669D"/>
    <w:rsid w:val="00D66706"/>
    <w:rsid w:val="00D6681A"/>
    <w:rsid w:val="00D66F01"/>
    <w:rsid w:val="00D671B2"/>
    <w:rsid w:val="00D6729C"/>
    <w:rsid w:val="00D674C8"/>
    <w:rsid w:val="00D7044C"/>
    <w:rsid w:val="00D70453"/>
    <w:rsid w:val="00D710C3"/>
    <w:rsid w:val="00D714C0"/>
    <w:rsid w:val="00D714E3"/>
    <w:rsid w:val="00D716FD"/>
    <w:rsid w:val="00D71905"/>
    <w:rsid w:val="00D71D04"/>
    <w:rsid w:val="00D7254A"/>
    <w:rsid w:val="00D736C5"/>
    <w:rsid w:val="00D73B46"/>
    <w:rsid w:val="00D73C21"/>
    <w:rsid w:val="00D73F1B"/>
    <w:rsid w:val="00D743A0"/>
    <w:rsid w:val="00D744FC"/>
    <w:rsid w:val="00D7474A"/>
    <w:rsid w:val="00D74E0E"/>
    <w:rsid w:val="00D74F7E"/>
    <w:rsid w:val="00D7521E"/>
    <w:rsid w:val="00D75436"/>
    <w:rsid w:val="00D75545"/>
    <w:rsid w:val="00D75A49"/>
    <w:rsid w:val="00D7612B"/>
    <w:rsid w:val="00D761DD"/>
    <w:rsid w:val="00D7633F"/>
    <w:rsid w:val="00D76505"/>
    <w:rsid w:val="00D770D3"/>
    <w:rsid w:val="00D77160"/>
    <w:rsid w:val="00D77544"/>
    <w:rsid w:val="00D776B6"/>
    <w:rsid w:val="00D77A4B"/>
    <w:rsid w:val="00D8032B"/>
    <w:rsid w:val="00D80390"/>
    <w:rsid w:val="00D80C8B"/>
    <w:rsid w:val="00D81807"/>
    <w:rsid w:val="00D81D5F"/>
    <w:rsid w:val="00D82259"/>
    <w:rsid w:val="00D82361"/>
    <w:rsid w:val="00D8237F"/>
    <w:rsid w:val="00D826ED"/>
    <w:rsid w:val="00D82872"/>
    <w:rsid w:val="00D83F71"/>
    <w:rsid w:val="00D84144"/>
    <w:rsid w:val="00D845FF"/>
    <w:rsid w:val="00D84612"/>
    <w:rsid w:val="00D84F72"/>
    <w:rsid w:val="00D84F99"/>
    <w:rsid w:val="00D84FB0"/>
    <w:rsid w:val="00D8524C"/>
    <w:rsid w:val="00D85479"/>
    <w:rsid w:val="00D85A31"/>
    <w:rsid w:val="00D85D50"/>
    <w:rsid w:val="00D8608A"/>
    <w:rsid w:val="00D8648B"/>
    <w:rsid w:val="00D86564"/>
    <w:rsid w:val="00D86BF8"/>
    <w:rsid w:val="00D878C4"/>
    <w:rsid w:val="00D87A2B"/>
    <w:rsid w:val="00D87E1A"/>
    <w:rsid w:val="00D87F3B"/>
    <w:rsid w:val="00D900F0"/>
    <w:rsid w:val="00D903E1"/>
    <w:rsid w:val="00D90452"/>
    <w:rsid w:val="00D9062E"/>
    <w:rsid w:val="00D906DD"/>
    <w:rsid w:val="00D90AD5"/>
    <w:rsid w:val="00D91694"/>
    <w:rsid w:val="00D918AC"/>
    <w:rsid w:val="00D91B3A"/>
    <w:rsid w:val="00D91C76"/>
    <w:rsid w:val="00D91D7C"/>
    <w:rsid w:val="00D91FBB"/>
    <w:rsid w:val="00D92D13"/>
    <w:rsid w:val="00D93219"/>
    <w:rsid w:val="00D9325E"/>
    <w:rsid w:val="00D937A6"/>
    <w:rsid w:val="00D93BC0"/>
    <w:rsid w:val="00D93C2C"/>
    <w:rsid w:val="00D93FE1"/>
    <w:rsid w:val="00D944B9"/>
    <w:rsid w:val="00D94F59"/>
    <w:rsid w:val="00D95017"/>
    <w:rsid w:val="00D95062"/>
    <w:rsid w:val="00D95838"/>
    <w:rsid w:val="00D958D4"/>
    <w:rsid w:val="00D95952"/>
    <w:rsid w:val="00D959D2"/>
    <w:rsid w:val="00D95B2E"/>
    <w:rsid w:val="00D95C14"/>
    <w:rsid w:val="00D95D72"/>
    <w:rsid w:val="00D9602D"/>
    <w:rsid w:val="00D96DA1"/>
    <w:rsid w:val="00D970FC"/>
    <w:rsid w:val="00D97598"/>
    <w:rsid w:val="00D97674"/>
    <w:rsid w:val="00D9784E"/>
    <w:rsid w:val="00D97A5D"/>
    <w:rsid w:val="00D97B24"/>
    <w:rsid w:val="00D97F11"/>
    <w:rsid w:val="00D97F81"/>
    <w:rsid w:val="00DA0613"/>
    <w:rsid w:val="00DA0751"/>
    <w:rsid w:val="00DA0919"/>
    <w:rsid w:val="00DA0C94"/>
    <w:rsid w:val="00DA1343"/>
    <w:rsid w:val="00DA1383"/>
    <w:rsid w:val="00DA144F"/>
    <w:rsid w:val="00DA1824"/>
    <w:rsid w:val="00DA18DD"/>
    <w:rsid w:val="00DA194E"/>
    <w:rsid w:val="00DA1978"/>
    <w:rsid w:val="00DA1AB5"/>
    <w:rsid w:val="00DA1E06"/>
    <w:rsid w:val="00DA1E4D"/>
    <w:rsid w:val="00DA20EA"/>
    <w:rsid w:val="00DA211C"/>
    <w:rsid w:val="00DA25BB"/>
    <w:rsid w:val="00DA2940"/>
    <w:rsid w:val="00DA2DA4"/>
    <w:rsid w:val="00DA2E62"/>
    <w:rsid w:val="00DA339F"/>
    <w:rsid w:val="00DA33CD"/>
    <w:rsid w:val="00DA3435"/>
    <w:rsid w:val="00DA34D6"/>
    <w:rsid w:val="00DA384A"/>
    <w:rsid w:val="00DA3DAB"/>
    <w:rsid w:val="00DA3E62"/>
    <w:rsid w:val="00DA4345"/>
    <w:rsid w:val="00DA4742"/>
    <w:rsid w:val="00DA4C34"/>
    <w:rsid w:val="00DA4F64"/>
    <w:rsid w:val="00DA51CB"/>
    <w:rsid w:val="00DA5441"/>
    <w:rsid w:val="00DA5773"/>
    <w:rsid w:val="00DA5A97"/>
    <w:rsid w:val="00DA5B0A"/>
    <w:rsid w:val="00DA5F6F"/>
    <w:rsid w:val="00DA6937"/>
    <w:rsid w:val="00DA6BB9"/>
    <w:rsid w:val="00DA6F61"/>
    <w:rsid w:val="00DA7097"/>
    <w:rsid w:val="00DA72D4"/>
    <w:rsid w:val="00DA739D"/>
    <w:rsid w:val="00DA7514"/>
    <w:rsid w:val="00DA7B2A"/>
    <w:rsid w:val="00DA7D1B"/>
    <w:rsid w:val="00DB0108"/>
    <w:rsid w:val="00DB0288"/>
    <w:rsid w:val="00DB03E7"/>
    <w:rsid w:val="00DB04D2"/>
    <w:rsid w:val="00DB0E88"/>
    <w:rsid w:val="00DB0FC8"/>
    <w:rsid w:val="00DB123D"/>
    <w:rsid w:val="00DB1309"/>
    <w:rsid w:val="00DB13A2"/>
    <w:rsid w:val="00DB14B6"/>
    <w:rsid w:val="00DB187C"/>
    <w:rsid w:val="00DB1B48"/>
    <w:rsid w:val="00DB1C43"/>
    <w:rsid w:val="00DB1E1B"/>
    <w:rsid w:val="00DB1F04"/>
    <w:rsid w:val="00DB2169"/>
    <w:rsid w:val="00DB21F1"/>
    <w:rsid w:val="00DB2474"/>
    <w:rsid w:val="00DB24F4"/>
    <w:rsid w:val="00DB268F"/>
    <w:rsid w:val="00DB2CEB"/>
    <w:rsid w:val="00DB3157"/>
    <w:rsid w:val="00DB396D"/>
    <w:rsid w:val="00DB39AC"/>
    <w:rsid w:val="00DB3B10"/>
    <w:rsid w:val="00DB3C1A"/>
    <w:rsid w:val="00DB3EFF"/>
    <w:rsid w:val="00DB403A"/>
    <w:rsid w:val="00DB58BB"/>
    <w:rsid w:val="00DB5981"/>
    <w:rsid w:val="00DB5B4A"/>
    <w:rsid w:val="00DB5BCE"/>
    <w:rsid w:val="00DB61C7"/>
    <w:rsid w:val="00DB6E5B"/>
    <w:rsid w:val="00DB6EC6"/>
    <w:rsid w:val="00DB6FAB"/>
    <w:rsid w:val="00DB7177"/>
    <w:rsid w:val="00DB7B16"/>
    <w:rsid w:val="00DC04DC"/>
    <w:rsid w:val="00DC09E7"/>
    <w:rsid w:val="00DC0D83"/>
    <w:rsid w:val="00DC127D"/>
    <w:rsid w:val="00DC13E9"/>
    <w:rsid w:val="00DC203E"/>
    <w:rsid w:val="00DC21EA"/>
    <w:rsid w:val="00DC2B70"/>
    <w:rsid w:val="00DC2C5C"/>
    <w:rsid w:val="00DC2E11"/>
    <w:rsid w:val="00DC3685"/>
    <w:rsid w:val="00DC382A"/>
    <w:rsid w:val="00DC39C3"/>
    <w:rsid w:val="00DC3BF8"/>
    <w:rsid w:val="00DC3C65"/>
    <w:rsid w:val="00DC3D54"/>
    <w:rsid w:val="00DC3EFD"/>
    <w:rsid w:val="00DC40CA"/>
    <w:rsid w:val="00DC462A"/>
    <w:rsid w:val="00DC4776"/>
    <w:rsid w:val="00DC4872"/>
    <w:rsid w:val="00DC4A09"/>
    <w:rsid w:val="00DC4C67"/>
    <w:rsid w:val="00DC4D53"/>
    <w:rsid w:val="00DC4EF4"/>
    <w:rsid w:val="00DC5524"/>
    <w:rsid w:val="00DC5C29"/>
    <w:rsid w:val="00DC5EA7"/>
    <w:rsid w:val="00DC5FC1"/>
    <w:rsid w:val="00DC60FC"/>
    <w:rsid w:val="00DC636B"/>
    <w:rsid w:val="00DC6CC4"/>
    <w:rsid w:val="00DC6D5B"/>
    <w:rsid w:val="00DC72D2"/>
    <w:rsid w:val="00DC731A"/>
    <w:rsid w:val="00DC7573"/>
    <w:rsid w:val="00DC77DC"/>
    <w:rsid w:val="00DC78B2"/>
    <w:rsid w:val="00DC7998"/>
    <w:rsid w:val="00DC7B27"/>
    <w:rsid w:val="00DC7C24"/>
    <w:rsid w:val="00DC7DFB"/>
    <w:rsid w:val="00DD02F4"/>
    <w:rsid w:val="00DD0574"/>
    <w:rsid w:val="00DD0CDA"/>
    <w:rsid w:val="00DD0D81"/>
    <w:rsid w:val="00DD0E0F"/>
    <w:rsid w:val="00DD1222"/>
    <w:rsid w:val="00DD1304"/>
    <w:rsid w:val="00DD1354"/>
    <w:rsid w:val="00DD1568"/>
    <w:rsid w:val="00DD17BA"/>
    <w:rsid w:val="00DD1AA7"/>
    <w:rsid w:val="00DD1E1B"/>
    <w:rsid w:val="00DD21DC"/>
    <w:rsid w:val="00DD27B2"/>
    <w:rsid w:val="00DD28BD"/>
    <w:rsid w:val="00DD2EB6"/>
    <w:rsid w:val="00DD33B1"/>
    <w:rsid w:val="00DD34E6"/>
    <w:rsid w:val="00DD35DA"/>
    <w:rsid w:val="00DD3865"/>
    <w:rsid w:val="00DD3D68"/>
    <w:rsid w:val="00DD40BF"/>
    <w:rsid w:val="00DD4129"/>
    <w:rsid w:val="00DD45C6"/>
    <w:rsid w:val="00DD460B"/>
    <w:rsid w:val="00DD4B74"/>
    <w:rsid w:val="00DD4E64"/>
    <w:rsid w:val="00DD5F8A"/>
    <w:rsid w:val="00DD5FFB"/>
    <w:rsid w:val="00DD624F"/>
    <w:rsid w:val="00DD6497"/>
    <w:rsid w:val="00DD658E"/>
    <w:rsid w:val="00DD67F0"/>
    <w:rsid w:val="00DD6B5C"/>
    <w:rsid w:val="00DD7185"/>
    <w:rsid w:val="00DD75D2"/>
    <w:rsid w:val="00DD768C"/>
    <w:rsid w:val="00DD7D44"/>
    <w:rsid w:val="00DD7F06"/>
    <w:rsid w:val="00DE00C2"/>
    <w:rsid w:val="00DE011D"/>
    <w:rsid w:val="00DE0219"/>
    <w:rsid w:val="00DE028C"/>
    <w:rsid w:val="00DE06F2"/>
    <w:rsid w:val="00DE075A"/>
    <w:rsid w:val="00DE0873"/>
    <w:rsid w:val="00DE0B8B"/>
    <w:rsid w:val="00DE0C9E"/>
    <w:rsid w:val="00DE10D3"/>
    <w:rsid w:val="00DE12BD"/>
    <w:rsid w:val="00DE146C"/>
    <w:rsid w:val="00DE1892"/>
    <w:rsid w:val="00DE1BD1"/>
    <w:rsid w:val="00DE1CD0"/>
    <w:rsid w:val="00DE2094"/>
    <w:rsid w:val="00DE26E4"/>
    <w:rsid w:val="00DE29DA"/>
    <w:rsid w:val="00DE2A43"/>
    <w:rsid w:val="00DE2CEE"/>
    <w:rsid w:val="00DE2D4A"/>
    <w:rsid w:val="00DE30F5"/>
    <w:rsid w:val="00DE3D54"/>
    <w:rsid w:val="00DE3E01"/>
    <w:rsid w:val="00DE3EA4"/>
    <w:rsid w:val="00DE3F70"/>
    <w:rsid w:val="00DE4050"/>
    <w:rsid w:val="00DE4604"/>
    <w:rsid w:val="00DE475B"/>
    <w:rsid w:val="00DE4DDC"/>
    <w:rsid w:val="00DE51D2"/>
    <w:rsid w:val="00DE55DC"/>
    <w:rsid w:val="00DE5738"/>
    <w:rsid w:val="00DE583F"/>
    <w:rsid w:val="00DE5842"/>
    <w:rsid w:val="00DE5C61"/>
    <w:rsid w:val="00DE6051"/>
    <w:rsid w:val="00DE60E6"/>
    <w:rsid w:val="00DE6D78"/>
    <w:rsid w:val="00DE6DC3"/>
    <w:rsid w:val="00DE6EB6"/>
    <w:rsid w:val="00DE7246"/>
    <w:rsid w:val="00DE725F"/>
    <w:rsid w:val="00DE7321"/>
    <w:rsid w:val="00DE77E5"/>
    <w:rsid w:val="00DE7CDC"/>
    <w:rsid w:val="00DF03E3"/>
    <w:rsid w:val="00DF07AB"/>
    <w:rsid w:val="00DF0815"/>
    <w:rsid w:val="00DF0957"/>
    <w:rsid w:val="00DF119D"/>
    <w:rsid w:val="00DF12D8"/>
    <w:rsid w:val="00DF14B1"/>
    <w:rsid w:val="00DF1828"/>
    <w:rsid w:val="00DF1E99"/>
    <w:rsid w:val="00DF1FD6"/>
    <w:rsid w:val="00DF22C5"/>
    <w:rsid w:val="00DF22F5"/>
    <w:rsid w:val="00DF24F5"/>
    <w:rsid w:val="00DF26B5"/>
    <w:rsid w:val="00DF274D"/>
    <w:rsid w:val="00DF27CD"/>
    <w:rsid w:val="00DF2E19"/>
    <w:rsid w:val="00DF2E57"/>
    <w:rsid w:val="00DF2EF6"/>
    <w:rsid w:val="00DF322B"/>
    <w:rsid w:val="00DF3342"/>
    <w:rsid w:val="00DF3851"/>
    <w:rsid w:val="00DF3B33"/>
    <w:rsid w:val="00DF4308"/>
    <w:rsid w:val="00DF44C5"/>
    <w:rsid w:val="00DF506E"/>
    <w:rsid w:val="00DF516C"/>
    <w:rsid w:val="00DF550C"/>
    <w:rsid w:val="00DF55A0"/>
    <w:rsid w:val="00DF580A"/>
    <w:rsid w:val="00DF5885"/>
    <w:rsid w:val="00DF5932"/>
    <w:rsid w:val="00DF5ABE"/>
    <w:rsid w:val="00DF625E"/>
    <w:rsid w:val="00DF6338"/>
    <w:rsid w:val="00DF6BF7"/>
    <w:rsid w:val="00DF6D99"/>
    <w:rsid w:val="00DF762B"/>
    <w:rsid w:val="00DF763D"/>
    <w:rsid w:val="00DF7B34"/>
    <w:rsid w:val="00DF7B74"/>
    <w:rsid w:val="00DF7C48"/>
    <w:rsid w:val="00E00539"/>
    <w:rsid w:val="00E00804"/>
    <w:rsid w:val="00E00A3D"/>
    <w:rsid w:val="00E00BF3"/>
    <w:rsid w:val="00E00C06"/>
    <w:rsid w:val="00E00DD1"/>
    <w:rsid w:val="00E011FA"/>
    <w:rsid w:val="00E01296"/>
    <w:rsid w:val="00E013A7"/>
    <w:rsid w:val="00E01627"/>
    <w:rsid w:val="00E01B7A"/>
    <w:rsid w:val="00E02066"/>
    <w:rsid w:val="00E02309"/>
    <w:rsid w:val="00E02420"/>
    <w:rsid w:val="00E02AED"/>
    <w:rsid w:val="00E02D8D"/>
    <w:rsid w:val="00E03574"/>
    <w:rsid w:val="00E03CDA"/>
    <w:rsid w:val="00E0420E"/>
    <w:rsid w:val="00E043D6"/>
    <w:rsid w:val="00E04476"/>
    <w:rsid w:val="00E045CD"/>
    <w:rsid w:val="00E047EA"/>
    <w:rsid w:val="00E0493B"/>
    <w:rsid w:val="00E04B52"/>
    <w:rsid w:val="00E04CC6"/>
    <w:rsid w:val="00E052B2"/>
    <w:rsid w:val="00E05651"/>
    <w:rsid w:val="00E058DE"/>
    <w:rsid w:val="00E05AA9"/>
    <w:rsid w:val="00E05F25"/>
    <w:rsid w:val="00E05F42"/>
    <w:rsid w:val="00E06070"/>
    <w:rsid w:val="00E06276"/>
    <w:rsid w:val="00E070C3"/>
    <w:rsid w:val="00E07274"/>
    <w:rsid w:val="00E07451"/>
    <w:rsid w:val="00E07D28"/>
    <w:rsid w:val="00E1059B"/>
    <w:rsid w:val="00E107C0"/>
    <w:rsid w:val="00E10B85"/>
    <w:rsid w:val="00E10D81"/>
    <w:rsid w:val="00E10E2A"/>
    <w:rsid w:val="00E11010"/>
    <w:rsid w:val="00E1126B"/>
    <w:rsid w:val="00E114DD"/>
    <w:rsid w:val="00E114F6"/>
    <w:rsid w:val="00E11BCC"/>
    <w:rsid w:val="00E11F22"/>
    <w:rsid w:val="00E11FB9"/>
    <w:rsid w:val="00E1217C"/>
    <w:rsid w:val="00E1218F"/>
    <w:rsid w:val="00E126F6"/>
    <w:rsid w:val="00E1302E"/>
    <w:rsid w:val="00E132BF"/>
    <w:rsid w:val="00E13356"/>
    <w:rsid w:val="00E13592"/>
    <w:rsid w:val="00E136D3"/>
    <w:rsid w:val="00E13CA7"/>
    <w:rsid w:val="00E13D93"/>
    <w:rsid w:val="00E13F5A"/>
    <w:rsid w:val="00E13F79"/>
    <w:rsid w:val="00E14092"/>
    <w:rsid w:val="00E14285"/>
    <w:rsid w:val="00E1431E"/>
    <w:rsid w:val="00E14382"/>
    <w:rsid w:val="00E147D2"/>
    <w:rsid w:val="00E147DD"/>
    <w:rsid w:val="00E14FE0"/>
    <w:rsid w:val="00E158A2"/>
    <w:rsid w:val="00E15A8F"/>
    <w:rsid w:val="00E15C1E"/>
    <w:rsid w:val="00E16183"/>
    <w:rsid w:val="00E16CDC"/>
    <w:rsid w:val="00E17020"/>
    <w:rsid w:val="00E1708B"/>
    <w:rsid w:val="00E1734D"/>
    <w:rsid w:val="00E177C4"/>
    <w:rsid w:val="00E17B98"/>
    <w:rsid w:val="00E2011A"/>
    <w:rsid w:val="00E204FD"/>
    <w:rsid w:val="00E20AB5"/>
    <w:rsid w:val="00E20AE2"/>
    <w:rsid w:val="00E20D81"/>
    <w:rsid w:val="00E20EC0"/>
    <w:rsid w:val="00E211CB"/>
    <w:rsid w:val="00E21321"/>
    <w:rsid w:val="00E214A5"/>
    <w:rsid w:val="00E21622"/>
    <w:rsid w:val="00E21810"/>
    <w:rsid w:val="00E21AC7"/>
    <w:rsid w:val="00E21ADB"/>
    <w:rsid w:val="00E21B66"/>
    <w:rsid w:val="00E21B8D"/>
    <w:rsid w:val="00E21DFC"/>
    <w:rsid w:val="00E21E5F"/>
    <w:rsid w:val="00E22BD8"/>
    <w:rsid w:val="00E2320B"/>
    <w:rsid w:val="00E23948"/>
    <w:rsid w:val="00E23E3B"/>
    <w:rsid w:val="00E23F36"/>
    <w:rsid w:val="00E23FA8"/>
    <w:rsid w:val="00E241F2"/>
    <w:rsid w:val="00E245A8"/>
    <w:rsid w:val="00E248E2"/>
    <w:rsid w:val="00E249D7"/>
    <w:rsid w:val="00E24A23"/>
    <w:rsid w:val="00E24E0E"/>
    <w:rsid w:val="00E253B3"/>
    <w:rsid w:val="00E25773"/>
    <w:rsid w:val="00E25908"/>
    <w:rsid w:val="00E2591F"/>
    <w:rsid w:val="00E26EC2"/>
    <w:rsid w:val="00E27007"/>
    <w:rsid w:val="00E30328"/>
    <w:rsid w:val="00E303DB"/>
    <w:rsid w:val="00E30E67"/>
    <w:rsid w:val="00E3146B"/>
    <w:rsid w:val="00E314FF"/>
    <w:rsid w:val="00E3194F"/>
    <w:rsid w:val="00E31A38"/>
    <w:rsid w:val="00E31A8F"/>
    <w:rsid w:val="00E31EFF"/>
    <w:rsid w:val="00E3229D"/>
    <w:rsid w:val="00E32479"/>
    <w:rsid w:val="00E3291A"/>
    <w:rsid w:val="00E33262"/>
    <w:rsid w:val="00E334B6"/>
    <w:rsid w:val="00E33759"/>
    <w:rsid w:val="00E337A6"/>
    <w:rsid w:val="00E33916"/>
    <w:rsid w:val="00E33997"/>
    <w:rsid w:val="00E33BDE"/>
    <w:rsid w:val="00E33ECE"/>
    <w:rsid w:val="00E33F86"/>
    <w:rsid w:val="00E33FCB"/>
    <w:rsid w:val="00E3408B"/>
    <w:rsid w:val="00E34624"/>
    <w:rsid w:val="00E34699"/>
    <w:rsid w:val="00E34C63"/>
    <w:rsid w:val="00E35318"/>
    <w:rsid w:val="00E356C7"/>
    <w:rsid w:val="00E358EF"/>
    <w:rsid w:val="00E35A78"/>
    <w:rsid w:val="00E35D0C"/>
    <w:rsid w:val="00E35F9E"/>
    <w:rsid w:val="00E3613F"/>
    <w:rsid w:val="00E363A1"/>
    <w:rsid w:val="00E36524"/>
    <w:rsid w:val="00E36677"/>
    <w:rsid w:val="00E3668E"/>
    <w:rsid w:val="00E367A5"/>
    <w:rsid w:val="00E36801"/>
    <w:rsid w:val="00E36833"/>
    <w:rsid w:val="00E36863"/>
    <w:rsid w:val="00E37ADA"/>
    <w:rsid w:val="00E37BA3"/>
    <w:rsid w:val="00E37C14"/>
    <w:rsid w:val="00E37C31"/>
    <w:rsid w:val="00E37FBF"/>
    <w:rsid w:val="00E40442"/>
    <w:rsid w:val="00E408F2"/>
    <w:rsid w:val="00E40F5C"/>
    <w:rsid w:val="00E410CD"/>
    <w:rsid w:val="00E411CC"/>
    <w:rsid w:val="00E41398"/>
    <w:rsid w:val="00E41535"/>
    <w:rsid w:val="00E415D1"/>
    <w:rsid w:val="00E4160B"/>
    <w:rsid w:val="00E41F83"/>
    <w:rsid w:val="00E4236B"/>
    <w:rsid w:val="00E423DB"/>
    <w:rsid w:val="00E43272"/>
    <w:rsid w:val="00E433FD"/>
    <w:rsid w:val="00E43A83"/>
    <w:rsid w:val="00E43B72"/>
    <w:rsid w:val="00E43DBA"/>
    <w:rsid w:val="00E44022"/>
    <w:rsid w:val="00E440CB"/>
    <w:rsid w:val="00E4492F"/>
    <w:rsid w:val="00E44A88"/>
    <w:rsid w:val="00E44AD1"/>
    <w:rsid w:val="00E44E7A"/>
    <w:rsid w:val="00E4518B"/>
    <w:rsid w:val="00E45263"/>
    <w:rsid w:val="00E4566F"/>
    <w:rsid w:val="00E45D55"/>
    <w:rsid w:val="00E45DEF"/>
    <w:rsid w:val="00E4601C"/>
    <w:rsid w:val="00E460CC"/>
    <w:rsid w:val="00E46116"/>
    <w:rsid w:val="00E46408"/>
    <w:rsid w:val="00E469AD"/>
    <w:rsid w:val="00E46AA5"/>
    <w:rsid w:val="00E474FE"/>
    <w:rsid w:val="00E4751F"/>
    <w:rsid w:val="00E4779A"/>
    <w:rsid w:val="00E47A37"/>
    <w:rsid w:val="00E47C7B"/>
    <w:rsid w:val="00E50080"/>
    <w:rsid w:val="00E5069A"/>
    <w:rsid w:val="00E50C64"/>
    <w:rsid w:val="00E50E48"/>
    <w:rsid w:val="00E50EB6"/>
    <w:rsid w:val="00E51422"/>
    <w:rsid w:val="00E51431"/>
    <w:rsid w:val="00E51631"/>
    <w:rsid w:val="00E518BE"/>
    <w:rsid w:val="00E51ABE"/>
    <w:rsid w:val="00E51CFB"/>
    <w:rsid w:val="00E51D77"/>
    <w:rsid w:val="00E521B4"/>
    <w:rsid w:val="00E528C3"/>
    <w:rsid w:val="00E528C7"/>
    <w:rsid w:val="00E52938"/>
    <w:rsid w:val="00E52B32"/>
    <w:rsid w:val="00E531C4"/>
    <w:rsid w:val="00E53319"/>
    <w:rsid w:val="00E53378"/>
    <w:rsid w:val="00E53531"/>
    <w:rsid w:val="00E53905"/>
    <w:rsid w:val="00E53E83"/>
    <w:rsid w:val="00E54045"/>
    <w:rsid w:val="00E54304"/>
    <w:rsid w:val="00E54311"/>
    <w:rsid w:val="00E546A0"/>
    <w:rsid w:val="00E54927"/>
    <w:rsid w:val="00E549C3"/>
    <w:rsid w:val="00E550A3"/>
    <w:rsid w:val="00E550C1"/>
    <w:rsid w:val="00E5512E"/>
    <w:rsid w:val="00E55A3E"/>
    <w:rsid w:val="00E55B7B"/>
    <w:rsid w:val="00E56391"/>
    <w:rsid w:val="00E56979"/>
    <w:rsid w:val="00E56BED"/>
    <w:rsid w:val="00E56D91"/>
    <w:rsid w:val="00E5779A"/>
    <w:rsid w:val="00E577A0"/>
    <w:rsid w:val="00E57827"/>
    <w:rsid w:val="00E57AEA"/>
    <w:rsid w:val="00E60939"/>
    <w:rsid w:val="00E6099E"/>
    <w:rsid w:val="00E609C2"/>
    <w:rsid w:val="00E60E12"/>
    <w:rsid w:val="00E61170"/>
    <w:rsid w:val="00E61978"/>
    <w:rsid w:val="00E61CBD"/>
    <w:rsid w:val="00E624FD"/>
    <w:rsid w:val="00E6256E"/>
    <w:rsid w:val="00E625BE"/>
    <w:rsid w:val="00E625CA"/>
    <w:rsid w:val="00E626D3"/>
    <w:rsid w:val="00E62BC8"/>
    <w:rsid w:val="00E63B7C"/>
    <w:rsid w:val="00E63C4E"/>
    <w:rsid w:val="00E63E77"/>
    <w:rsid w:val="00E640F6"/>
    <w:rsid w:val="00E64614"/>
    <w:rsid w:val="00E6487A"/>
    <w:rsid w:val="00E64D8A"/>
    <w:rsid w:val="00E65430"/>
    <w:rsid w:val="00E65448"/>
    <w:rsid w:val="00E65853"/>
    <w:rsid w:val="00E6596E"/>
    <w:rsid w:val="00E65CB3"/>
    <w:rsid w:val="00E65CD1"/>
    <w:rsid w:val="00E65FFA"/>
    <w:rsid w:val="00E66708"/>
    <w:rsid w:val="00E66959"/>
    <w:rsid w:val="00E66DB2"/>
    <w:rsid w:val="00E66F25"/>
    <w:rsid w:val="00E670BE"/>
    <w:rsid w:val="00E6756E"/>
    <w:rsid w:val="00E675A4"/>
    <w:rsid w:val="00E679C9"/>
    <w:rsid w:val="00E67A34"/>
    <w:rsid w:val="00E67AFD"/>
    <w:rsid w:val="00E67D93"/>
    <w:rsid w:val="00E704B3"/>
    <w:rsid w:val="00E7092C"/>
    <w:rsid w:val="00E70FF2"/>
    <w:rsid w:val="00E71055"/>
    <w:rsid w:val="00E71B53"/>
    <w:rsid w:val="00E71EBB"/>
    <w:rsid w:val="00E72376"/>
    <w:rsid w:val="00E725DA"/>
    <w:rsid w:val="00E725E7"/>
    <w:rsid w:val="00E7263E"/>
    <w:rsid w:val="00E7271F"/>
    <w:rsid w:val="00E72912"/>
    <w:rsid w:val="00E72E40"/>
    <w:rsid w:val="00E72EE6"/>
    <w:rsid w:val="00E73663"/>
    <w:rsid w:val="00E737AB"/>
    <w:rsid w:val="00E73818"/>
    <w:rsid w:val="00E73827"/>
    <w:rsid w:val="00E7386C"/>
    <w:rsid w:val="00E738D8"/>
    <w:rsid w:val="00E73B49"/>
    <w:rsid w:val="00E73D3B"/>
    <w:rsid w:val="00E73E6F"/>
    <w:rsid w:val="00E73ED5"/>
    <w:rsid w:val="00E73F68"/>
    <w:rsid w:val="00E740CE"/>
    <w:rsid w:val="00E74484"/>
    <w:rsid w:val="00E747BC"/>
    <w:rsid w:val="00E74B2A"/>
    <w:rsid w:val="00E74C44"/>
    <w:rsid w:val="00E74CF0"/>
    <w:rsid w:val="00E74D28"/>
    <w:rsid w:val="00E75086"/>
    <w:rsid w:val="00E75144"/>
    <w:rsid w:val="00E752B7"/>
    <w:rsid w:val="00E75399"/>
    <w:rsid w:val="00E75E20"/>
    <w:rsid w:val="00E75FCC"/>
    <w:rsid w:val="00E760C9"/>
    <w:rsid w:val="00E762F8"/>
    <w:rsid w:val="00E76545"/>
    <w:rsid w:val="00E767EF"/>
    <w:rsid w:val="00E76F95"/>
    <w:rsid w:val="00E77098"/>
    <w:rsid w:val="00E773C4"/>
    <w:rsid w:val="00E77658"/>
    <w:rsid w:val="00E779DE"/>
    <w:rsid w:val="00E77C88"/>
    <w:rsid w:val="00E8005E"/>
    <w:rsid w:val="00E80486"/>
    <w:rsid w:val="00E80824"/>
    <w:rsid w:val="00E80C71"/>
    <w:rsid w:val="00E811B9"/>
    <w:rsid w:val="00E812A9"/>
    <w:rsid w:val="00E8142E"/>
    <w:rsid w:val="00E8144D"/>
    <w:rsid w:val="00E814F9"/>
    <w:rsid w:val="00E817A8"/>
    <w:rsid w:val="00E81876"/>
    <w:rsid w:val="00E820FF"/>
    <w:rsid w:val="00E821A1"/>
    <w:rsid w:val="00E8271A"/>
    <w:rsid w:val="00E8285A"/>
    <w:rsid w:val="00E82874"/>
    <w:rsid w:val="00E82880"/>
    <w:rsid w:val="00E82993"/>
    <w:rsid w:val="00E829C5"/>
    <w:rsid w:val="00E829DB"/>
    <w:rsid w:val="00E82DF6"/>
    <w:rsid w:val="00E8308D"/>
    <w:rsid w:val="00E835A1"/>
    <w:rsid w:val="00E83903"/>
    <w:rsid w:val="00E83A4D"/>
    <w:rsid w:val="00E83DB1"/>
    <w:rsid w:val="00E8451C"/>
    <w:rsid w:val="00E84755"/>
    <w:rsid w:val="00E84A55"/>
    <w:rsid w:val="00E84AC6"/>
    <w:rsid w:val="00E84FC7"/>
    <w:rsid w:val="00E853DC"/>
    <w:rsid w:val="00E8579E"/>
    <w:rsid w:val="00E85D23"/>
    <w:rsid w:val="00E86067"/>
    <w:rsid w:val="00E8635B"/>
    <w:rsid w:val="00E863F6"/>
    <w:rsid w:val="00E86509"/>
    <w:rsid w:val="00E869E2"/>
    <w:rsid w:val="00E86C5C"/>
    <w:rsid w:val="00E86D87"/>
    <w:rsid w:val="00E86E2A"/>
    <w:rsid w:val="00E87ABC"/>
    <w:rsid w:val="00E87E6F"/>
    <w:rsid w:val="00E9013A"/>
    <w:rsid w:val="00E902E5"/>
    <w:rsid w:val="00E9050C"/>
    <w:rsid w:val="00E905B5"/>
    <w:rsid w:val="00E90718"/>
    <w:rsid w:val="00E90742"/>
    <w:rsid w:val="00E90C95"/>
    <w:rsid w:val="00E90F2C"/>
    <w:rsid w:val="00E90FCA"/>
    <w:rsid w:val="00E9111B"/>
    <w:rsid w:val="00E912A5"/>
    <w:rsid w:val="00E920B6"/>
    <w:rsid w:val="00E9274C"/>
    <w:rsid w:val="00E9274D"/>
    <w:rsid w:val="00E927D8"/>
    <w:rsid w:val="00E93036"/>
    <w:rsid w:val="00E9358F"/>
    <w:rsid w:val="00E9373B"/>
    <w:rsid w:val="00E93A85"/>
    <w:rsid w:val="00E93CA3"/>
    <w:rsid w:val="00E93E8E"/>
    <w:rsid w:val="00E940C4"/>
    <w:rsid w:val="00E94578"/>
    <w:rsid w:val="00E94EB1"/>
    <w:rsid w:val="00E94F1E"/>
    <w:rsid w:val="00E95719"/>
    <w:rsid w:val="00E9572D"/>
    <w:rsid w:val="00E95874"/>
    <w:rsid w:val="00E95E15"/>
    <w:rsid w:val="00E95ED8"/>
    <w:rsid w:val="00E9648A"/>
    <w:rsid w:val="00E969DE"/>
    <w:rsid w:val="00E96C86"/>
    <w:rsid w:val="00E96D3A"/>
    <w:rsid w:val="00E96F53"/>
    <w:rsid w:val="00E97038"/>
    <w:rsid w:val="00E972AE"/>
    <w:rsid w:val="00E97341"/>
    <w:rsid w:val="00E97784"/>
    <w:rsid w:val="00E97A08"/>
    <w:rsid w:val="00EA042D"/>
    <w:rsid w:val="00EA080B"/>
    <w:rsid w:val="00EA0DFF"/>
    <w:rsid w:val="00EA0EAD"/>
    <w:rsid w:val="00EA1181"/>
    <w:rsid w:val="00EA11C8"/>
    <w:rsid w:val="00EA130A"/>
    <w:rsid w:val="00EA1446"/>
    <w:rsid w:val="00EA1604"/>
    <w:rsid w:val="00EA1617"/>
    <w:rsid w:val="00EA1DAD"/>
    <w:rsid w:val="00EA2070"/>
    <w:rsid w:val="00EA20BC"/>
    <w:rsid w:val="00EA27B1"/>
    <w:rsid w:val="00EA27F7"/>
    <w:rsid w:val="00EA2841"/>
    <w:rsid w:val="00EA2933"/>
    <w:rsid w:val="00EA2C50"/>
    <w:rsid w:val="00EA2EFF"/>
    <w:rsid w:val="00EA2FBB"/>
    <w:rsid w:val="00EA3517"/>
    <w:rsid w:val="00EA358C"/>
    <w:rsid w:val="00EA3A14"/>
    <w:rsid w:val="00EA3CE1"/>
    <w:rsid w:val="00EA3EF8"/>
    <w:rsid w:val="00EA3F81"/>
    <w:rsid w:val="00EA3F91"/>
    <w:rsid w:val="00EA435D"/>
    <w:rsid w:val="00EA45CB"/>
    <w:rsid w:val="00EA4A48"/>
    <w:rsid w:val="00EA4ADF"/>
    <w:rsid w:val="00EA4BA7"/>
    <w:rsid w:val="00EA4C4E"/>
    <w:rsid w:val="00EA4F3A"/>
    <w:rsid w:val="00EA527F"/>
    <w:rsid w:val="00EA5990"/>
    <w:rsid w:val="00EA59FB"/>
    <w:rsid w:val="00EA5B93"/>
    <w:rsid w:val="00EA61F3"/>
    <w:rsid w:val="00EA688F"/>
    <w:rsid w:val="00EA69D2"/>
    <w:rsid w:val="00EA6B30"/>
    <w:rsid w:val="00EA6EAF"/>
    <w:rsid w:val="00EA7360"/>
    <w:rsid w:val="00EA769F"/>
    <w:rsid w:val="00EA7885"/>
    <w:rsid w:val="00EA78F2"/>
    <w:rsid w:val="00EA7DFF"/>
    <w:rsid w:val="00EB002B"/>
    <w:rsid w:val="00EB04AB"/>
    <w:rsid w:val="00EB0564"/>
    <w:rsid w:val="00EB0C99"/>
    <w:rsid w:val="00EB0D5B"/>
    <w:rsid w:val="00EB0D8D"/>
    <w:rsid w:val="00EB0E4F"/>
    <w:rsid w:val="00EB0E82"/>
    <w:rsid w:val="00EB135D"/>
    <w:rsid w:val="00EB1397"/>
    <w:rsid w:val="00EB139E"/>
    <w:rsid w:val="00EB14EC"/>
    <w:rsid w:val="00EB1547"/>
    <w:rsid w:val="00EB16D5"/>
    <w:rsid w:val="00EB1833"/>
    <w:rsid w:val="00EB1F30"/>
    <w:rsid w:val="00EB1FA3"/>
    <w:rsid w:val="00EB2094"/>
    <w:rsid w:val="00EB21D3"/>
    <w:rsid w:val="00EB2445"/>
    <w:rsid w:val="00EB29B4"/>
    <w:rsid w:val="00EB2A6E"/>
    <w:rsid w:val="00EB2CA2"/>
    <w:rsid w:val="00EB2CEF"/>
    <w:rsid w:val="00EB3273"/>
    <w:rsid w:val="00EB36D0"/>
    <w:rsid w:val="00EB3E19"/>
    <w:rsid w:val="00EB4211"/>
    <w:rsid w:val="00EB45DB"/>
    <w:rsid w:val="00EB48E6"/>
    <w:rsid w:val="00EB4966"/>
    <w:rsid w:val="00EB4A53"/>
    <w:rsid w:val="00EB4E4A"/>
    <w:rsid w:val="00EB5277"/>
    <w:rsid w:val="00EB5CBC"/>
    <w:rsid w:val="00EB5DC4"/>
    <w:rsid w:val="00EB5F6E"/>
    <w:rsid w:val="00EB60C7"/>
    <w:rsid w:val="00EB630D"/>
    <w:rsid w:val="00EB6AF6"/>
    <w:rsid w:val="00EB6B8A"/>
    <w:rsid w:val="00EB6DB8"/>
    <w:rsid w:val="00EB6E5C"/>
    <w:rsid w:val="00EB6F45"/>
    <w:rsid w:val="00EB704A"/>
    <w:rsid w:val="00EB72DE"/>
    <w:rsid w:val="00EB73C6"/>
    <w:rsid w:val="00EB7673"/>
    <w:rsid w:val="00EB76B3"/>
    <w:rsid w:val="00EB7828"/>
    <w:rsid w:val="00EB7ED0"/>
    <w:rsid w:val="00EC01CA"/>
    <w:rsid w:val="00EC042B"/>
    <w:rsid w:val="00EC0689"/>
    <w:rsid w:val="00EC0B8C"/>
    <w:rsid w:val="00EC0BE7"/>
    <w:rsid w:val="00EC0CBA"/>
    <w:rsid w:val="00EC1013"/>
    <w:rsid w:val="00EC1018"/>
    <w:rsid w:val="00EC10B5"/>
    <w:rsid w:val="00EC16F1"/>
    <w:rsid w:val="00EC19CC"/>
    <w:rsid w:val="00EC1B2D"/>
    <w:rsid w:val="00EC226F"/>
    <w:rsid w:val="00EC23B5"/>
    <w:rsid w:val="00EC2652"/>
    <w:rsid w:val="00EC26B2"/>
    <w:rsid w:val="00EC290A"/>
    <w:rsid w:val="00EC29F7"/>
    <w:rsid w:val="00EC2A04"/>
    <w:rsid w:val="00EC2A62"/>
    <w:rsid w:val="00EC2D6C"/>
    <w:rsid w:val="00EC2E63"/>
    <w:rsid w:val="00EC2FA9"/>
    <w:rsid w:val="00EC2FD3"/>
    <w:rsid w:val="00EC3054"/>
    <w:rsid w:val="00EC344E"/>
    <w:rsid w:val="00EC35F3"/>
    <w:rsid w:val="00EC36D7"/>
    <w:rsid w:val="00EC38D6"/>
    <w:rsid w:val="00EC3B5C"/>
    <w:rsid w:val="00EC44CA"/>
    <w:rsid w:val="00EC4863"/>
    <w:rsid w:val="00EC4AAC"/>
    <w:rsid w:val="00EC4E7F"/>
    <w:rsid w:val="00EC52DA"/>
    <w:rsid w:val="00EC5B8F"/>
    <w:rsid w:val="00EC61C7"/>
    <w:rsid w:val="00EC6350"/>
    <w:rsid w:val="00EC66A6"/>
    <w:rsid w:val="00EC6C89"/>
    <w:rsid w:val="00EC6D33"/>
    <w:rsid w:val="00EC6DFC"/>
    <w:rsid w:val="00ED03EB"/>
    <w:rsid w:val="00ED0447"/>
    <w:rsid w:val="00ED0793"/>
    <w:rsid w:val="00ED07BB"/>
    <w:rsid w:val="00ED07BE"/>
    <w:rsid w:val="00ED0B36"/>
    <w:rsid w:val="00ED0B6B"/>
    <w:rsid w:val="00ED1896"/>
    <w:rsid w:val="00ED19CA"/>
    <w:rsid w:val="00ED1AF3"/>
    <w:rsid w:val="00ED1B92"/>
    <w:rsid w:val="00ED1C6E"/>
    <w:rsid w:val="00ED1FB3"/>
    <w:rsid w:val="00ED1FB9"/>
    <w:rsid w:val="00ED229C"/>
    <w:rsid w:val="00ED2988"/>
    <w:rsid w:val="00ED2F8D"/>
    <w:rsid w:val="00ED3110"/>
    <w:rsid w:val="00ED314A"/>
    <w:rsid w:val="00ED358D"/>
    <w:rsid w:val="00ED3F80"/>
    <w:rsid w:val="00ED40B6"/>
    <w:rsid w:val="00ED42F0"/>
    <w:rsid w:val="00ED45E5"/>
    <w:rsid w:val="00ED483E"/>
    <w:rsid w:val="00ED48A6"/>
    <w:rsid w:val="00ED4C8A"/>
    <w:rsid w:val="00ED512F"/>
    <w:rsid w:val="00ED5224"/>
    <w:rsid w:val="00ED531E"/>
    <w:rsid w:val="00ED584C"/>
    <w:rsid w:val="00ED59C5"/>
    <w:rsid w:val="00ED59F0"/>
    <w:rsid w:val="00ED60ED"/>
    <w:rsid w:val="00ED65E3"/>
    <w:rsid w:val="00ED67F8"/>
    <w:rsid w:val="00ED6AF1"/>
    <w:rsid w:val="00ED6D1C"/>
    <w:rsid w:val="00ED741F"/>
    <w:rsid w:val="00ED79CF"/>
    <w:rsid w:val="00EE0199"/>
    <w:rsid w:val="00EE0879"/>
    <w:rsid w:val="00EE0980"/>
    <w:rsid w:val="00EE0984"/>
    <w:rsid w:val="00EE0BA5"/>
    <w:rsid w:val="00EE0BBB"/>
    <w:rsid w:val="00EE0BCC"/>
    <w:rsid w:val="00EE0D3A"/>
    <w:rsid w:val="00EE0F60"/>
    <w:rsid w:val="00EE1301"/>
    <w:rsid w:val="00EE1FFD"/>
    <w:rsid w:val="00EE2451"/>
    <w:rsid w:val="00EE25B6"/>
    <w:rsid w:val="00EE2AC1"/>
    <w:rsid w:val="00EE33B0"/>
    <w:rsid w:val="00EE343A"/>
    <w:rsid w:val="00EE34A3"/>
    <w:rsid w:val="00EE3795"/>
    <w:rsid w:val="00EE3D1F"/>
    <w:rsid w:val="00EE3D2A"/>
    <w:rsid w:val="00EE412E"/>
    <w:rsid w:val="00EE449A"/>
    <w:rsid w:val="00EE46CA"/>
    <w:rsid w:val="00EE4D44"/>
    <w:rsid w:val="00EE5073"/>
    <w:rsid w:val="00EE5320"/>
    <w:rsid w:val="00EE55FB"/>
    <w:rsid w:val="00EE58CD"/>
    <w:rsid w:val="00EE5BA8"/>
    <w:rsid w:val="00EE5D55"/>
    <w:rsid w:val="00EE5F1E"/>
    <w:rsid w:val="00EE69DA"/>
    <w:rsid w:val="00EE6B93"/>
    <w:rsid w:val="00EE6C19"/>
    <w:rsid w:val="00EE6C5D"/>
    <w:rsid w:val="00EE71FC"/>
    <w:rsid w:val="00EE72B8"/>
    <w:rsid w:val="00EE7589"/>
    <w:rsid w:val="00EE76D9"/>
    <w:rsid w:val="00EE79AE"/>
    <w:rsid w:val="00EE7F36"/>
    <w:rsid w:val="00EF03C0"/>
    <w:rsid w:val="00EF0AE4"/>
    <w:rsid w:val="00EF0BAD"/>
    <w:rsid w:val="00EF0EE6"/>
    <w:rsid w:val="00EF11BD"/>
    <w:rsid w:val="00EF13D1"/>
    <w:rsid w:val="00EF1B5D"/>
    <w:rsid w:val="00EF1CC9"/>
    <w:rsid w:val="00EF1DBF"/>
    <w:rsid w:val="00EF1E28"/>
    <w:rsid w:val="00EF20A4"/>
    <w:rsid w:val="00EF218B"/>
    <w:rsid w:val="00EF240C"/>
    <w:rsid w:val="00EF2412"/>
    <w:rsid w:val="00EF2885"/>
    <w:rsid w:val="00EF2AA7"/>
    <w:rsid w:val="00EF2AC9"/>
    <w:rsid w:val="00EF2FBB"/>
    <w:rsid w:val="00EF318C"/>
    <w:rsid w:val="00EF3353"/>
    <w:rsid w:val="00EF3377"/>
    <w:rsid w:val="00EF33C7"/>
    <w:rsid w:val="00EF33F2"/>
    <w:rsid w:val="00EF346E"/>
    <w:rsid w:val="00EF3743"/>
    <w:rsid w:val="00EF390B"/>
    <w:rsid w:val="00EF3949"/>
    <w:rsid w:val="00EF3AC9"/>
    <w:rsid w:val="00EF3DBF"/>
    <w:rsid w:val="00EF4260"/>
    <w:rsid w:val="00EF427E"/>
    <w:rsid w:val="00EF44F1"/>
    <w:rsid w:val="00EF4658"/>
    <w:rsid w:val="00EF4891"/>
    <w:rsid w:val="00EF490D"/>
    <w:rsid w:val="00EF4B0E"/>
    <w:rsid w:val="00EF4B82"/>
    <w:rsid w:val="00EF4D94"/>
    <w:rsid w:val="00EF512B"/>
    <w:rsid w:val="00EF53C0"/>
    <w:rsid w:val="00EF53DE"/>
    <w:rsid w:val="00EF54A5"/>
    <w:rsid w:val="00EF55EF"/>
    <w:rsid w:val="00EF67F5"/>
    <w:rsid w:val="00EF683D"/>
    <w:rsid w:val="00EF74D4"/>
    <w:rsid w:val="00EF76FC"/>
    <w:rsid w:val="00EF779C"/>
    <w:rsid w:val="00EF7C6D"/>
    <w:rsid w:val="00EF7EC2"/>
    <w:rsid w:val="00F00016"/>
    <w:rsid w:val="00F000ED"/>
    <w:rsid w:val="00F00134"/>
    <w:rsid w:val="00F0019F"/>
    <w:rsid w:val="00F0027B"/>
    <w:rsid w:val="00F003DE"/>
    <w:rsid w:val="00F00DFC"/>
    <w:rsid w:val="00F00EFD"/>
    <w:rsid w:val="00F00F00"/>
    <w:rsid w:val="00F013B7"/>
    <w:rsid w:val="00F013E9"/>
    <w:rsid w:val="00F01901"/>
    <w:rsid w:val="00F01DF3"/>
    <w:rsid w:val="00F021C0"/>
    <w:rsid w:val="00F027A8"/>
    <w:rsid w:val="00F0291D"/>
    <w:rsid w:val="00F02A5D"/>
    <w:rsid w:val="00F02C4C"/>
    <w:rsid w:val="00F02FBC"/>
    <w:rsid w:val="00F02FC1"/>
    <w:rsid w:val="00F02FDB"/>
    <w:rsid w:val="00F030D3"/>
    <w:rsid w:val="00F03177"/>
    <w:rsid w:val="00F0355D"/>
    <w:rsid w:val="00F03563"/>
    <w:rsid w:val="00F03C4C"/>
    <w:rsid w:val="00F03EA9"/>
    <w:rsid w:val="00F03EE1"/>
    <w:rsid w:val="00F03F55"/>
    <w:rsid w:val="00F043AE"/>
    <w:rsid w:val="00F04C4F"/>
    <w:rsid w:val="00F04EDE"/>
    <w:rsid w:val="00F050E1"/>
    <w:rsid w:val="00F05890"/>
    <w:rsid w:val="00F05A23"/>
    <w:rsid w:val="00F05C41"/>
    <w:rsid w:val="00F064B8"/>
    <w:rsid w:val="00F066C3"/>
    <w:rsid w:val="00F06A81"/>
    <w:rsid w:val="00F07720"/>
    <w:rsid w:val="00F078F5"/>
    <w:rsid w:val="00F10200"/>
    <w:rsid w:val="00F104A7"/>
    <w:rsid w:val="00F10536"/>
    <w:rsid w:val="00F105D1"/>
    <w:rsid w:val="00F106A1"/>
    <w:rsid w:val="00F10835"/>
    <w:rsid w:val="00F10C40"/>
    <w:rsid w:val="00F10E84"/>
    <w:rsid w:val="00F11049"/>
    <w:rsid w:val="00F11336"/>
    <w:rsid w:val="00F1143F"/>
    <w:rsid w:val="00F11548"/>
    <w:rsid w:val="00F11651"/>
    <w:rsid w:val="00F117EB"/>
    <w:rsid w:val="00F12460"/>
    <w:rsid w:val="00F125B3"/>
    <w:rsid w:val="00F1266D"/>
    <w:rsid w:val="00F126A5"/>
    <w:rsid w:val="00F12816"/>
    <w:rsid w:val="00F128C2"/>
    <w:rsid w:val="00F12E4A"/>
    <w:rsid w:val="00F130FF"/>
    <w:rsid w:val="00F1322D"/>
    <w:rsid w:val="00F132CF"/>
    <w:rsid w:val="00F1341F"/>
    <w:rsid w:val="00F1347A"/>
    <w:rsid w:val="00F13C57"/>
    <w:rsid w:val="00F13E82"/>
    <w:rsid w:val="00F140AA"/>
    <w:rsid w:val="00F147DF"/>
    <w:rsid w:val="00F14958"/>
    <w:rsid w:val="00F149D1"/>
    <w:rsid w:val="00F14D41"/>
    <w:rsid w:val="00F15CAD"/>
    <w:rsid w:val="00F15FD3"/>
    <w:rsid w:val="00F16321"/>
    <w:rsid w:val="00F1653A"/>
    <w:rsid w:val="00F16608"/>
    <w:rsid w:val="00F16656"/>
    <w:rsid w:val="00F16680"/>
    <w:rsid w:val="00F16808"/>
    <w:rsid w:val="00F16B24"/>
    <w:rsid w:val="00F16D84"/>
    <w:rsid w:val="00F17179"/>
    <w:rsid w:val="00F171F6"/>
    <w:rsid w:val="00F17274"/>
    <w:rsid w:val="00F17301"/>
    <w:rsid w:val="00F17447"/>
    <w:rsid w:val="00F17952"/>
    <w:rsid w:val="00F20181"/>
    <w:rsid w:val="00F20736"/>
    <w:rsid w:val="00F20BFE"/>
    <w:rsid w:val="00F20D31"/>
    <w:rsid w:val="00F21684"/>
    <w:rsid w:val="00F218DB"/>
    <w:rsid w:val="00F21959"/>
    <w:rsid w:val="00F21DCC"/>
    <w:rsid w:val="00F22289"/>
    <w:rsid w:val="00F22785"/>
    <w:rsid w:val="00F22FBD"/>
    <w:rsid w:val="00F23040"/>
    <w:rsid w:val="00F2344D"/>
    <w:rsid w:val="00F2364D"/>
    <w:rsid w:val="00F23999"/>
    <w:rsid w:val="00F23C5D"/>
    <w:rsid w:val="00F23F2B"/>
    <w:rsid w:val="00F2429B"/>
    <w:rsid w:val="00F24BE4"/>
    <w:rsid w:val="00F24DDA"/>
    <w:rsid w:val="00F24F48"/>
    <w:rsid w:val="00F2504E"/>
    <w:rsid w:val="00F255E8"/>
    <w:rsid w:val="00F255FA"/>
    <w:rsid w:val="00F25A33"/>
    <w:rsid w:val="00F25A4B"/>
    <w:rsid w:val="00F25EFF"/>
    <w:rsid w:val="00F26BC4"/>
    <w:rsid w:val="00F2702E"/>
    <w:rsid w:val="00F271B6"/>
    <w:rsid w:val="00F273F8"/>
    <w:rsid w:val="00F27593"/>
    <w:rsid w:val="00F27B6D"/>
    <w:rsid w:val="00F27C54"/>
    <w:rsid w:val="00F27CAB"/>
    <w:rsid w:val="00F27E97"/>
    <w:rsid w:val="00F300E4"/>
    <w:rsid w:val="00F30248"/>
    <w:rsid w:val="00F3048A"/>
    <w:rsid w:val="00F30CFA"/>
    <w:rsid w:val="00F30DFE"/>
    <w:rsid w:val="00F30E54"/>
    <w:rsid w:val="00F30F8B"/>
    <w:rsid w:val="00F313A8"/>
    <w:rsid w:val="00F31672"/>
    <w:rsid w:val="00F31855"/>
    <w:rsid w:val="00F321AC"/>
    <w:rsid w:val="00F32867"/>
    <w:rsid w:val="00F328C4"/>
    <w:rsid w:val="00F32BE5"/>
    <w:rsid w:val="00F32FDB"/>
    <w:rsid w:val="00F335BD"/>
    <w:rsid w:val="00F339A7"/>
    <w:rsid w:val="00F34046"/>
    <w:rsid w:val="00F34115"/>
    <w:rsid w:val="00F341A2"/>
    <w:rsid w:val="00F342FB"/>
    <w:rsid w:val="00F34C60"/>
    <w:rsid w:val="00F34D4B"/>
    <w:rsid w:val="00F34D89"/>
    <w:rsid w:val="00F34FB4"/>
    <w:rsid w:val="00F3518F"/>
    <w:rsid w:val="00F35299"/>
    <w:rsid w:val="00F352B6"/>
    <w:rsid w:val="00F355A0"/>
    <w:rsid w:val="00F35662"/>
    <w:rsid w:val="00F3585A"/>
    <w:rsid w:val="00F35A73"/>
    <w:rsid w:val="00F35B64"/>
    <w:rsid w:val="00F35E63"/>
    <w:rsid w:val="00F36FFE"/>
    <w:rsid w:val="00F376FC"/>
    <w:rsid w:val="00F378FC"/>
    <w:rsid w:val="00F37A8E"/>
    <w:rsid w:val="00F37D8C"/>
    <w:rsid w:val="00F37E23"/>
    <w:rsid w:val="00F37EFA"/>
    <w:rsid w:val="00F40166"/>
    <w:rsid w:val="00F401D6"/>
    <w:rsid w:val="00F4027C"/>
    <w:rsid w:val="00F402A8"/>
    <w:rsid w:val="00F40958"/>
    <w:rsid w:val="00F40AF1"/>
    <w:rsid w:val="00F40FAB"/>
    <w:rsid w:val="00F410B2"/>
    <w:rsid w:val="00F410CF"/>
    <w:rsid w:val="00F4135B"/>
    <w:rsid w:val="00F41407"/>
    <w:rsid w:val="00F416A1"/>
    <w:rsid w:val="00F4180F"/>
    <w:rsid w:val="00F41B18"/>
    <w:rsid w:val="00F41BC6"/>
    <w:rsid w:val="00F41CCD"/>
    <w:rsid w:val="00F42562"/>
    <w:rsid w:val="00F425A5"/>
    <w:rsid w:val="00F4266F"/>
    <w:rsid w:val="00F42869"/>
    <w:rsid w:val="00F42964"/>
    <w:rsid w:val="00F42BF7"/>
    <w:rsid w:val="00F431E5"/>
    <w:rsid w:val="00F4324D"/>
    <w:rsid w:val="00F43DBB"/>
    <w:rsid w:val="00F4433A"/>
    <w:rsid w:val="00F447E6"/>
    <w:rsid w:val="00F44B9E"/>
    <w:rsid w:val="00F44C59"/>
    <w:rsid w:val="00F4530F"/>
    <w:rsid w:val="00F4561E"/>
    <w:rsid w:val="00F45658"/>
    <w:rsid w:val="00F4569D"/>
    <w:rsid w:val="00F4594C"/>
    <w:rsid w:val="00F45A0C"/>
    <w:rsid w:val="00F45ACC"/>
    <w:rsid w:val="00F45D86"/>
    <w:rsid w:val="00F45F42"/>
    <w:rsid w:val="00F467F3"/>
    <w:rsid w:val="00F46912"/>
    <w:rsid w:val="00F46AA5"/>
    <w:rsid w:val="00F46DDE"/>
    <w:rsid w:val="00F47250"/>
    <w:rsid w:val="00F4762E"/>
    <w:rsid w:val="00F476D7"/>
    <w:rsid w:val="00F47B59"/>
    <w:rsid w:val="00F50775"/>
    <w:rsid w:val="00F50975"/>
    <w:rsid w:val="00F509F7"/>
    <w:rsid w:val="00F50F33"/>
    <w:rsid w:val="00F50FDE"/>
    <w:rsid w:val="00F51086"/>
    <w:rsid w:val="00F51BCC"/>
    <w:rsid w:val="00F51D4E"/>
    <w:rsid w:val="00F51ED4"/>
    <w:rsid w:val="00F52001"/>
    <w:rsid w:val="00F52178"/>
    <w:rsid w:val="00F52367"/>
    <w:rsid w:val="00F526B7"/>
    <w:rsid w:val="00F52A9A"/>
    <w:rsid w:val="00F530C6"/>
    <w:rsid w:val="00F53102"/>
    <w:rsid w:val="00F53248"/>
    <w:rsid w:val="00F53490"/>
    <w:rsid w:val="00F536AD"/>
    <w:rsid w:val="00F53C76"/>
    <w:rsid w:val="00F53EB8"/>
    <w:rsid w:val="00F53EEC"/>
    <w:rsid w:val="00F541AB"/>
    <w:rsid w:val="00F54367"/>
    <w:rsid w:val="00F54635"/>
    <w:rsid w:val="00F546C3"/>
    <w:rsid w:val="00F54AE9"/>
    <w:rsid w:val="00F54DE6"/>
    <w:rsid w:val="00F54FBB"/>
    <w:rsid w:val="00F5521E"/>
    <w:rsid w:val="00F5542E"/>
    <w:rsid w:val="00F5564B"/>
    <w:rsid w:val="00F55697"/>
    <w:rsid w:val="00F560B2"/>
    <w:rsid w:val="00F5610A"/>
    <w:rsid w:val="00F5614A"/>
    <w:rsid w:val="00F561EA"/>
    <w:rsid w:val="00F56336"/>
    <w:rsid w:val="00F56476"/>
    <w:rsid w:val="00F5672B"/>
    <w:rsid w:val="00F56B32"/>
    <w:rsid w:val="00F56BA0"/>
    <w:rsid w:val="00F56EF7"/>
    <w:rsid w:val="00F571B0"/>
    <w:rsid w:val="00F57575"/>
    <w:rsid w:val="00F575A9"/>
    <w:rsid w:val="00F5777A"/>
    <w:rsid w:val="00F57B85"/>
    <w:rsid w:val="00F57DEF"/>
    <w:rsid w:val="00F60400"/>
    <w:rsid w:val="00F60426"/>
    <w:rsid w:val="00F609CD"/>
    <w:rsid w:val="00F609F1"/>
    <w:rsid w:val="00F60D04"/>
    <w:rsid w:val="00F60E55"/>
    <w:rsid w:val="00F60E67"/>
    <w:rsid w:val="00F613D7"/>
    <w:rsid w:val="00F615D8"/>
    <w:rsid w:val="00F61871"/>
    <w:rsid w:val="00F618C3"/>
    <w:rsid w:val="00F61B5C"/>
    <w:rsid w:val="00F61C6B"/>
    <w:rsid w:val="00F61E3D"/>
    <w:rsid w:val="00F62301"/>
    <w:rsid w:val="00F63445"/>
    <w:rsid w:val="00F63524"/>
    <w:rsid w:val="00F63D9B"/>
    <w:rsid w:val="00F63F01"/>
    <w:rsid w:val="00F64566"/>
    <w:rsid w:val="00F64642"/>
    <w:rsid w:val="00F64763"/>
    <w:rsid w:val="00F64B93"/>
    <w:rsid w:val="00F64D62"/>
    <w:rsid w:val="00F65396"/>
    <w:rsid w:val="00F655C4"/>
    <w:rsid w:val="00F656F5"/>
    <w:rsid w:val="00F65943"/>
    <w:rsid w:val="00F65A2D"/>
    <w:rsid w:val="00F65BA1"/>
    <w:rsid w:val="00F65F3A"/>
    <w:rsid w:val="00F66786"/>
    <w:rsid w:val="00F66C3C"/>
    <w:rsid w:val="00F66CD6"/>
    <w:rsid w:val="00F67A12"/>
    <w:rsid w:val="00F67B10"/>
    <w:rsid w:val="00F703E2"/>
    <w:rsid w:val="00F708E2"/>
    <w:rsid w:val="00F70AA4"/>
    <w:rsid w:val="00F70FC6"/>
    <w:rsid w:val="00F712EC"/>
    <w:rsid w:val="00F71684"/>
    <w:rsid w:val="00F71F57"/>
    <w:rsid w:val="00F722D4"/>
    <w:rsid w:val="00F72659"/>
    <w:rsid w:val="00F72714"/>
    <w:rsid w:val="00F727E7"/>
    <w:rsid w:val="00F72E1C"/>
    <w:rsid w:val="00F730E2"/>
    <w:rsid w:val="00F7394F"/>
    <w:rsid w:val="00F73989"/>
    <w:rsid w:val="00F739B1"/>
    <w:rsid w:val="00F73C41"/>
    <w:rsid w:val="00F73F01"/>
    <w:rsid w:val="00F73F3D"/>
    <w:rsid w:val="00F73F4A"/>
    <w:rsid w:val="00F73FA4"/>
    <w:rsid w:val="00F7415F"/>
    <w:rsid w:val="00F74170"/>
    <w:rsid w:val="00F743E1"/>
    <w:rsid w:val="00F74656"/>
    <w:rsid w:val="00F74A56"/>
    <w:rsid w:val="00F74A5E"/>
    <w:rsid w:val="00F74F8C"/>
    <w:rsid w:val="00F750B6"/>
    <w:rsid w:val="00F75174"/>
    <w:rsid w:val="00F752A4"/>
    <w:rsid w:val="00F752F4"/>
    <w:rsid w:val="00F758F0"/>
    <w:rsid w:val="00F75D56"/>
    <w:rsid w:val="00F75E84"/>
    <w:rsid w:val="00F75F63"/>
    <w:rsid w:val="00F760BA"/>
    <w:rsid w:val="00F768E6"/>
    <w:rsid w:val="00F76AB1"/>
    <w:rsid w:val="00F76E2C"/>
    <w:rsid w:val="00F76E38"/>
    <w:rsid w:val="00F77333"/>
    <w:rsid w:val="00F7757D"/>
    <w:rsid w:val="00F776E5"/>
    <w:rsid w:val="00F77A12"/>
    <w:rsid w:val="00F77A47"/>
    <w:rsid w:val="00F77C07"/>
    <w:rsid w:val="00F77D72"/>
    <w:rsid w:val="00F77E96"/>
    <w:rsid w:val="00F77FCA"/>
    <w:rsid w:val="00F8085C"/>
    <w:rsid w:val="00F80A5E"/>
    <w:rsid w:val="00F80A89"/>
    <w:rsid w:val="00F81061"/>
    <w:rsid w:val="00F81268"/>
    <w:rsid w:val="00F81334"/>
    <w:rsid w:val="00F81A6F"/>
    <w:rsid w:val="00F8205B"/>
    <w:rsid w:val="00F8213D"/>
    <w:rsid w:val="00F8251B"/>
    <w:rsid w:val="00F82A69"/>
    <w:rsid w:val="00F82A96"/>
    <w:rsid w:val="00F82D10"/>
    <w:rsid w:val="00F8343C"/>
    <w:rsid w:val="00F834FB"/>
    <w:rsid w:val="00F83501"/>
    <w:rsid w:val="00F83D05"/>
    <w:rsid w:val="00F83DC5"/>
    <w:rsid w:val="00F83FE3"/>
    <w:rsid w:val="00F84034"/>
    <w:rsid w:val="00F850A4"/>
    <w:rsid w:val="00F85329"/>
    <w:rsid w:val="00F853F4"/>
    <w:rsid w:val="00F85605"/>
    <w:rsid w:val="00F856A6"/>
    <w:rsid w:val="00F85E3A"/>
    <w:rsid w:val="00F860BD"/>
    <w:rsid w:val="00F863AD"/>
    <w:rsid w:val="00F864CA"/>
    <w:rsid w:val="00F86601"/>
    <w:rsid w:val="00F86973"/>
    <w:rsid w:val="00F869AB"/>
    <w:rsid w:val="00F86F6B"/>
    <w:rsid w:val="00F874B0"/>
    <w:rsid w:val="00F876EA"/>
    <w:rsid w:val="00F8772D"/>
    <w:rsid w:val="00F878F9"/>
    <w:rsid w:val="00F87D2D"/>
    <w:rsid w:val="00F87EE2"/>
    <w:rsid w:val="00F902A5"/>
    <w:rsid w:val="00F9033E"/>
    <w:rsid w:val="00F90648"/>
    <w:rsid w:val="00F90AB6"/>
    <w:rsid w:val="00F91648"/>
    <w:rsid w:val="00F91931"/>
    <w:rsid w:val="00F92139"/>
    <w:rsid w:val="00F92A02"/>
    <w:rsid w:val="00F92A62"/>
    <w:rsid w:val="00F92C77"/>
    <w:rsid w:val="00F92C7A"/>
    <w:rsid w:val="00F92F3B"/>
    <w:rsid w:val="00F9389C"/>
    <w:rsid w:val="00F9391E"/>
    <w:rsid w:val="00F93A1E"/>
    <w:rsid w:val="00F93DD3"/>
    <w:rsid w:val="00F944AD"/>
    <w:rsid w:val="00F94A8B"/>
    <w:rsid w:val="00F94CDA"/>
    <w:rsid w:val="00F953E3"/>
    <w:rsid w:val="00F95495"/>
    <w:rsid w:val="00F955B8"/>
    <w:rsid w:val="00F95D3D"/>
    <w:rsid w:val="00F95EFC"/>
    <w:rsid w:val="00F960AF"/>
    <w:rsid w:val="00F9655D"/>
    <w:rsid w:val="00F96711"/>
    <w:rsid w:val="00F96944"/>
    <w:rsid w:val="00F96DC7"/>
    <w:rsid w:val="00F96E0E"/>
    <w:rsid w:val="00F9700C"/>
    <w:rsid w:val="00F970DB"/>
    <w:rsid w:val="00F97426"/>
    <w:rsid w:val="00F9746A"/>
    <w:rsid w:val="00F97A11"/>
    <w:rsid w:val="00F97E0B"/>
    <w:rsid w:val="00FA0383"/>
    <w:rsid w:val="00FA052C"/>
    <w:rsid w:val="00FA0617"/>
    <w:rsid w:val="00FA089F"/>
    <w:rsid w:val="00FA0A9C"/>
    <w:rsid w:val="00FA0DC4"/>
    <w:rsid w:val="00FA0DF6"/>
    <w:rsid w:val="00FA1095"/>
    <w:rsid w:val="00FA13DC"/>
    <w:rsid w:val="00FA13FE"/>
    <w:rsid w:val="00FA1B37"/>
    <w:rsid w:val="00FA22E2"/>
    <w:rsid w:val="00FA243A"/>
    <w:rsid w:val="00FA24ED"/>
    <w:rsid w:val="00FA25BF"/>
    <w:rsid w:val="00FA28C0"/>
    <w:rsid w:val="00FA28FC"/>
    <w:rsid w:val="00FA2A44"/>
    <w:rsid w:val="00FA2EA2"/>
    <w:rsid w:val="00FA31DC"/>
    <w:rsid w:val="00FA32DD"/>
    <w:rsid w:val="00FA347B"/>
    <w:rsid w:val="00FA352A"/>
    <w:rsid w:val="00FA3581"/>
    <w:rsid w:val="00FA366E"/>
    <w:rsid w:val="00FA372F"/>
    <w:rsid w:val="00FA3A71"/>
    <w:rsid w:val="00FA3CA3"/>
    <w:rsid w:val="00FA3D64"/>
    <w:rsid w:val="00FA414E"/>
    <w:rsid w:val="00FA41A8"/>
    <w:rsid w:val="00FA5436"/>
    <w:rsid w:val="00FA5AB3"/>
    <w:rsid w:val="00FA5D57"/>
    <w:rsid w:val="00FA682F"/>
    <w:rsid w:val="00FA6863"/>
    <w:rsid w:val="00FA7168"/>
    <w:rsid w:val="00FA72C5"/>
    <w:rsid w:val="00FA7311"/>
    <w:rsid w:val="00FA73FC"/>
    <w:rsid w:val="00FA771C"/>
    <w:rsid w:val="00FA7A37"/>
    <w:rsid w:val="00FA7CA1"/>
    <w:rsid w:val="00FA7E27"/>
    <w:rsid w:val="00FA7FA0"/>
    <w:rsid w:val="00FB0568"/>
    <w:rsid w:val="00FB05E9"/>
    <w:rsid w:val="00FB0793"/>
    <w:rsid w:val="00FB083F"/>
    <w:rsid w:val="00FB095C"/>
    <w:rsid w:val="00FB0C48"/>
    <w:rsid w:val="00FB0D02"/>
    <w:rsid w:val="00FB0F0B"/>
    <w:rsid w:val="00FB11D6"/>
    <w:rsid w:val="00FB12EA"/>
    <w:rsid w:val="00FB1513"/>
    <w:rsid w:val="00FB18DC"/>
    <w:rsid w:val="00FB1983"/>
    <w:rsid w:val="00FB1ADD"/>
    <w:rsid w:val="00FB1E67"/>
    <w:rsid w:val="00FB238A"/>
    <w:rsid w:val="00FB2A12"/>
    <w:rsid w:val="00FB2AC9"/>
    <w:rsid w:val="00FB2BF3"/>
    <w:rsid w:val="00FB2C68"/>
    <w:rsid w:val="00FB2FB7"/>
    <w:rsid w:val="00FB2FC3"/>
    <w:rsid w:val="00FB30B2"/>
    <w:rsid w:val="00FB31BD"/>
    <w:rsid w:val="00FB3345"/>
    <w:rsid w:val="00FB37B5"/>
    <w:rsid w:val="00FB3A8B"/>
    <w:rsid w:val="00FB3B80"/>
    <w:rsid w:val="00FB3FC2"/>
    <w:rsid w:val="00FB44E0"/>
    <w:rsid w:val="00FB4600"/>
    <w:rsid w:val="00FB47B9"/>
    <w:rsid w:val="00FB4B81"/>
    <w:rsid w:val="00FB4C6C"/>
    <w:rsid w:val="00FB4CC4"/>
    <w:rsid w:val="00FB4E16"/>
    <w:rsid w:val="00FB4FF6"/>
    <w:rsid w:val="00FB50D2"/>
    <w:rsid w:val="00FB5502"/>
    <w:rsid w:val="00FB5BC5"/>
    <w:rsid w:val="00FB6286"/>
    <w:rsid w:val="00FB6464"/>
    <w:rsid w:val="00FB680C"/>
    <w:rsid w:val="00FB6940"/>
    <w:rsid w:val="00FB6A1C"/>
    <w:rsid w:val="00FB73B7"/>
    <w:rsid w:val="00FB74EE"/>
    <w:rsid w:val="00FB782D"/>
    <w:rsid w:val="00FB7DFD"/>
    <w:rsid w:val="00FB7F79"/>
    <w:rsid w:val="00FC0035"/>
    <w:rsid w:val="00FC0169"/>
    <w:rsid w:val="00FC03CD"/>
    <w:rsid w:val="00FC09D1"/>
    <w:rsid w:val="00FC09D7"/>
    <w:rsid w:val="00FC0B92"/>
    <w:rsid w:val="00FC0BBE"/>
    <w:rsid w:val="00FC0EF2"/>
    <w:rsid w:val="00FC104D"/>
    <w:rsid w:val="00FC13C8"/>
    <w:rsid w:val="00FC1580"/>
    <w:rsid w:val="00FC159A"/>
    <w:rsid w:val="00FC19A9"/>
    <w:rsid w:val="00FC1F96"/>
    <w:rsid w:val="00FC2516"/>
    <w:rsid w:val="00FC26B6"/>
    <w:rsid w:val="00FC27FB"/>
    <w:rsid w:val="00FC29DA"/>
    <w:rsid w:val="00FC2B87"/>
    <w:rsid w:val="00FC2BF8"/>
    <w:rsid w:val="00FC36F6"/>
    <w:rsid w:val="00FC39BD"/>
    <w:rsid w:val="00FC3AD1"/>
    <w:rsid w:val="00FC3C23"/>
    <w:rsid w:val="00FC4057"/>
    <w:rsid w:val="00FC4C1E"/>
    <w:rsid w:val="00FC549F"/>
    <w:rsid w:val="00FC5735"/>
    <w:rsid w:val="00FC5A12"/>
    <w:rsid w:val="00FC5CCE"/>
    <w:rsid w:val="00FC5D4C"/>
    <w:rsid w:val="00FC5FDE"/>
    <w:rsid w:val="00FC63BC"/>
    <w:rsid w:val="00FC774D"/>
    <w:rsid w:val="00FC780E"/>
    <w:rsid w:val="00FC7E06"/>
    <w:rsid w:val="00FD0195"/>
    <w:rsid w:val="00FD0959"/>
    <w:rsid w:val="00FD0A49"/>
    <w:rsid w:val="00FD0D9C"/>
    <w:rsid w:val="00FD0DB9"/>
    <w:rsid w:val="00FD15F3"/>
    <w:rsid w:val="00FD1CE7"/>
    <w:rsid w:val="00FD2983"/>
    <w:rsid w:val="00FD2E00"/>
    <w:rsid w:val="00FD32D3"/>
    <w:rsid w:val="00FD3B41"/>
    <w:rsid w:val="00FD4212"/>
    <w:rsid w:val="00FD42A8"/>
    <w:rsid w:val="00FD43A2"/>
    <w:rsid w:val="00FD4D14"/>
    <w:rsid w:val="00FD4D6E"/>
    <w:rsid w:val="00FD4EA7"/>
    <w:rsid w:val="00FD4F26"/>
    <w:rsid w:val="00FD4F32"/>
    <w:rsid w:val="00FD4F7A"/>
    <w:rsid w:val="00FD56BA"/>
    <w:rsid w:val="00FD5892"/>
    <w:rsid w:val="00FD5AC0"/>
    <w:rsid w:val="00FD5C30"/>
    <w:rsid w:val="00FD5FB2"/>
    <w:rsid w:val="00FD61C0"/>
    <w:rsid w:val="00FD631E"/>
    <w:rsid w:val="00FD65B7"/>
    <w:rsid w:val="00FD664D"/>
    <w:rsid w:val="00FD66F8"/>
    <w:rsid w:val="00FD6DF0"/>
    <w:rsid w:val="00FD7737"/>
    <w:rsid w:val="00FD7A1E"/>
    <w:rsid w:val="00FD7A4C"/>
    <w:rsid w:val="00FD7CCB"/>
    <w:rsid w:val="00FD7F9A"/>
    <w:rsid w:val="00FE003E"/>
    <w:rsid w:val="00FE0178"/>
    <w:rsid w:val="00FE0481"/>
    <w:rsid w:val="00FE0536"/>
    <w:rsid w:val="00FE09A5"/>
    <w:rsid w:val="00FE0B2D"/>
    <w:rsid w:val="00FE120B"/>
    <w:rsid w:val="00FE122B"/>
    <w:rsid w:val="00FE153C"/>
    <w:rsid w:val="00FE19E8"/>
    <w:rsid w:val="00FE1BFB"/>
    <w:rsid w:val="00FE1ED8"/>
    <w:rsid w:val="00FE2281"/>
    <w:rsid w:val="00FE2387"/>
    <w:rsid w:val="00FE23DB"/>
    <w:rsid w:val="00FE2681"/>
    <w:rsid w:val="00FE27EA"/>
    <w:rsid w:val="00FE2946"/>
    <w:rsid w:val="00FE2C24"/>
    <w:rsid w:val="00FE2ED5"/>
    <w:rsid w:val="00FE2F59"/>
    <w:rsid w:val="00FE316F"/>
    <w:rsid w:val="00FE33DE"/>
    <w:rsid w:val="00FE3A77"/>
    <w:rsid w:val="00FE3E2B"/>
    <w:rsid w:val="00FE3FBC"/>
    <w:rsid w:val="00FE4FEF"/>
    <w:rsid w:val="00FE53B1"/>
    <w:rsid w:val="00FE53DF"/>
    <w:rsid w:val="00FE57D4"/>
    <w:rsid w:val="00FE5E06"/>
    <w:rsid w:val="00FE5F7E"/>
    <w:rsid w:val="00FE5FF2"/>
    <w:rsid w:val="00FE61D7"/>
    <w:rsid w:val="00FE6302"/>
    <w:rsid w:val="00FE6571"/>
    <w:rsid w:val="00FE677F"/>
    <w:rsid w:val="00FE6B82"/>
    <w:rsid w:val="00FE6BC4"/>
    <w:rsid w:val="00FE6E2E"/>
    <w:rsid w:val="00FE6F59"/>
    <w:rsid w:val="00FE7220"/>
    <w:rsid w:val="00FE75B4"/>
    <w:rsid w:val="00FE77EE"/>
    <w:rsid w:val="00FE7A6A"/>
    <w:rsid w:val="00FE7CC3"/>
    <w:rsid w:val="00FF006F"/>
    <w:rsid w:val="00FF02C5"/>
    <w:rsid w:val="00FF05A3"/>
    <w:rsid w:val="00FF063B"/>
    <w:rsid w:val="00FF0B0F"/>
    <w:rsid w:val="00FF0C04"/>
    <w:rsid w:val="00FF0D42"/>
    <w:rsid w:val="00FF0FD0"/>
    <w:rsid w:val="00FF131E"/>
    <w:rsid w:val="00FF16CF"/>
    <w:rsid w:val="00FF1727"/>
    <w:rsid w:val="00FF18AA"/>
    <w:rsid w:val="00FF1DDE"/>
    <w:rsid w:val="00FF1E2C"/>
    <w:rsid w:val="00FF20DC"/>
    <w:rsid w:val="00FF22F3"/>
    <w:rsid w:val="00FF25B4"/>
    <w:rsid w:val="00FF2B12"/>
    <w:rsid w:val="00FF2E81"/>
    <w:rsid w:val="00FF301E"/>
    <w:rsid w:val="00FF342D"/>
    <w:rsid w:val="00FF38CE"/>
    <w:rsid w:val="00FF3B41"/>
    <w:rsid w:val="00FF3C4E"/>
    <w:rsid w:val="00FF3CC5"/>
    <w:rsid w:val="00FF3DC9"/>
    <w:rsid w:val="00FF4085"/>
    <w:rsid w:val="00FF4396"/>
    <w:rsid w:val="00FF4BDF"/>
    <w:rsid w:val="00FF4C31"/>
    <w:rsid w:val="00FF5241"/>
    <w:rsid w:val="00FF5994"/>
    <w:rsid w:val="00FF622E"/>
    <w:rsid w:val="00FF682D"/>
    <w:rsid w:val="00FF6832"/>
    <w:rsid w:val="00FF691C"/>
    <w:rsid w:val="00FF6A4C"/>
    <w:rsid w:val="00FF6AAC"/>
    <w:rsid w:val="00FF6BB2"/>
    <w:rsid w:val="00FF737C"/>
    <w:rsid w:val="00FF763C"/>
    <w:rsid w:val="00FF7648"/>
    <w:rsid w:val="00FF77EC"/>
    <w:rsid w:val="00FF78FB"/>
    <w:rsid w:val="00FF7906"/>
    <w:rsid w:val="00FF7A83"/>
    <w:rsid w:val="00FF7BB0"/>
    <w:rsid w:val="00FF7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12AD6"/>
    <w:pPr>
      <w:widowControl w:val="0"/>
      <w:jc w:val="both"/>
    </w:pPr>
    <w:rPr>
      <w:rFonts w:ascii="Times New Roman" w:hAnsi="Times New Roman"/>
      <w:kern w:val="2"/>
      <w:sz w:val="21"/>
      <w:szCs w:val="22"/>
    </w:rPr>
  </w:style>
  <w:style w:type="paragraph" w:styleId="1">
    <w:name w:val="heading 1"/>
    <w:basedOn w:val="a1"/>
    <w:next w:val="a1"/>
    <w:link w:val="1Char"/>
    <w:uiPriority w:val="9"/>
    <w:qFormat/>
    <w:rsid w:val="002A10F3"/>
    <w:pPr>
      <w:keepNext/>
      <w:keepLines/>
      <w:spacing w:before="340" w:after="330" w:line="578" w:lineRule="auto"/>
      <w:outlineLvl w:val="0"/>
    </w:pPr>
    <w:rPr>
      <w:b/>
      <w:bCs/>
      <w:kern w:val="44"/>
      <w:sz w:val="44"/>
      <w:szCs w:val="44"/>
    </w:rPr>
  </w:style>
  <w:style w:type="paragraph" w:styleId="21">
    <w:name w:val="heading 2"/>
    <w:basedOn w:val="a1"/>
    <w:next w:val="a1"/>
    <w:link w:val="2Char"/>
    <w:uiPriority w:val="9"/>
    <w:semiHidden/>
    <w:unhideWhenUsed/>
    <w:qFormat/>
    <w:rsid w:val="00523EF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1">
    <w:name w:val="heading 3"/>
    <w:basedOn w:val="a1"/>
    <w:next w:val="a1"/>
    <w:link w:val="3Char"/>
    <w:uiPriority w:val="9"/>
    <w:semiHidden/>
    <w:unhideWhenUsed/>
    <w:qFormat/>
    <w:rsid w:val="00523EFA"/>
    <w:pPr>
      <w:keepNext/>
      <w:keepLines/>
      <w:spacing w:before="260" w:after="260" w:line="416" w:lineRule="auto"/>
      <w:outlineLvl w:val="2"/>
    </w:pPr>
    <w:rPr>
      <w:b/>
      <w:bCs/>
      <w:sz w:val="32"/>
      <w:szCs w:val="32"/>
    </w:rPr>
  </w:style>
  <w:style w:type="paragraph" w:styleId="41">
    <w:name w:val="heading 4"/>
    <w:basedOn w:val="a1"/>
    <w:next w:val="a1"/>
    <w:link w:val="4Char"/>
    <w:uiPriority w:val="9"/>
    <w:semiHidden/>
    <w:unhideWhenUsed/>
    <w:qFormat/>
    <w:rsid w:val="00523EF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1">
    <w:name w:val="heading 5"/>
    <w:basedOn w:val="a1"/>
    <w:next w:val="a1"/>
    <w:link w:val="5Char"/>
    <w:uiPriority w:val="9"/>
    <w:semiHidden/>
    <w:unhideWhenUsed/>
    <w:qFormat/>
    <w:rsid w:val="00523EFA"/>
    <w:pPr>
      <w:keepNext/>
      <w:keepLines/>
      <w:spacing w:before="280" w:after="290" w:line="376" w:lineRule="auto"/>
      <w:outlineLvl w:val="4"/>
    </w:pPr>
    <w:rPr>
      <w:b/>
      <w:bCs/>
      <w:sz w:val="28"/>
      <w:szCs w:val="28"/>
    </w:rPr>
  </w:style>
  <w:style w:type="paragraph" w:styleId="6">
    <w:name w:val="heading 6"/>
    <w:basedOn w:val="a1"/>
    <w:next w:val="a1"/>
    <w:link w:val="6Char"/>
    <w:uiPriority w:val="9"/>
    <w:semiHidden/>
    <w:unhideWhenUsed/>
    <w:qFormat/>
    <w:rsid w:val="00523EFA"/>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1"/>
    <w:next w:val="a1"/>
    <w:link w:val="7Char"/>
    <w:uiPriority w:val="9"/>
    <w:semiHidden/>
    <w:unhideWhenUsed/>
    <w:qFormat/>
    <w:rsid w:val="00523EFA"/>
    <w:pPr>
      <w:keepNext/>
      <w:keepLines/>
      <w:spacing w:before="240" w:after="64" w:line="320" w:lineRule="auto"/>
      <w:outlineLvl w:val="6"/>
    </w:pPr>
    <w:rPr>
      <w:b/>
      <w:bCs/>
      <w:sz w:val="24"/>
      <w:szCs w:val="24"/>
    </w:rPr>
  </w:style>
  <w:style w:type="paragraph" w:styleId="8">
    <w:name w:val="heading 8"/>
    <w:basedOn w:val="a1"/>
    <w:next w:val="a1"/>
    <w:link w:val="8Char"/>
    <w:uiPriority w:val="9"/>
    <w:semiHidden/>
    <w:unhideWhenUsed/>
    <w:qFormat/>
    <w:rsid w:val="00523EFA"/>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1"/>
    <w:next w:val="a1"/>
    <w:link w:val="9Char"/>
    <w:uiPriority w:val="9"/>
    <w:semiHidden/>
    <w:unhideWhenUsed/>
    <w:qFormat/>
    <w:rsid w:val="00523EFA"/>
    <w:pPr>
      <w:keepNext/>
      <w:keepLines/>
      <w:spacing w:before="240" w:after="64" w:line="320" w:lineRule="auto"/>
      <w:outlineLvl w:val="8"/>
    </w:pPr>
    <w:rPr>
      <w:rFonts w:asciiTheme="majorHAnsi" w:eastAsiaTheme="majorEastAsia" w:hAnsiTheme="majorHAnsi" w:cstheme="majorBidi"/>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C12AD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uiPriority w:val="99"/>
    <w:rsid w:val="00C12AD6"/>
    <w:rPr>
      <w:rFonts w:ascii="Times New Roman" w:hAnsi="Times New Roman"/>
      <w:sz w:val="18"/>
      <w:szCs w:val="18"/>
    </w:rPr>
  </w:style>
  <w:style w:type="paragraph" w:styleId="a6">
    <w:name w:val="footer"/>
    <w:basedOn w:val="a1"/>
    <w:link w:val="Char0"/>
    <w:uiPriority w:val="99"/>
    <w:unhideWhenUsed/>
    <w:rsid w:val="00C12AD6"/>
    <w:pPr>
      <w:tabs>
        <w:tab w:val="center" w:pos="4153"/>
        <w:tab w:val="right" w:pos="8306"/>
      </w:tabs>
      <w:snapToGrid w:val="0"/>
      <w:jc w:val="left"/>
    </w:pPr>
    <w:rPr>
      <w:sz w:val="18"/>
      <w:szCs w:val="18"/>
    </w:rPr>
  </w:style>
  <w:style w:type="character" w:customStyle="1" w:styleId="Char0">
    <w:name w:val="页脚 Char"/>
    <w:link w:val="a6"/>
    <w:uiPriority w:val="99"/>
    <w:rsid w:val="00C12AD6"/>
    <w:rPr>
      <w:rFonts w:ascii="Times New Roman" w:hAnsi="Times New Roman"/>
      <w:sz w:val="18"/>
      <w:szCs w:val="18"/>
    </w:rPr>
  </w:style>
  <w:style w:type="paragraph" w:styleId="a7">
    <w:name w:val="No Spacing"/>
    <w:link w:val="Char1"/>
    <w:uiPriority w:val="1"/>
    <w:qFormat/>
    <w:rsid w:val="00F44C59"/>
    <w:rPr>
      <w:rFonts w:asciiTheme="minorHAnsi" w:eastAsiaTheme="minorEastAsia" w:hAnsiTheme="minorHAnsi" w:cstheme="minorBidi"/>
      <w:sz w:val="22"/>
      <w:szCs w:val="22"/>
    </w:rPr>
  </w:style>
  <w:style w:type="character" w:customStyle="1" w:styleId="Char1">
    <w:name w:val="无间隔 Char"/>
    <w:basedOn w:val="a2"/>
    <w:link w:val="a7"/>
    <w:uiPriority w:val="1"/>
    <w:rsid w:val="00F44C59"/>
    <w:rPr>
      <w:rFonts w:asciiTheme="minorHAnsi" w:eastAsiaTheme="minorEastAsia" w:hAnsiTheme="minorHAnsi" w:cstheme="minorBidi"/>
      <w:sz w:val="22"/>
      <w:szCs w:val="22"/>
    </w:rPr>
  </w:style>
  <w:style w:type="table" w:styleId="a8">
    <w:name w:val="Table Grid"/>
    <w:basedOn w:val="a3"/>
    <w:uiPriority w:val="59"/>
    <w:rsid w:val="00912C01"/>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yle1">
    <w:name w:val="Style1"/>
    <w:basedOn w:val="a2"/>
    <w:uiPriority w:val="1"/>
    <w:rsid w:val="00912C01"/>
    <w:rPr>
      <w:rFonts w:asciiTheme="minorHAnsi" w:eastAsiaTheme="minorEastAsia" w:hAnsi="宋体" w:cstheme="minorBidi"/>
      <w:bCs w:val="0"/>
      <w:iCs w:val="0"/>
      <w:sz w:val="22"/>
      <w:szCs w:val="22"/>
      <w:lang w:eastAsia="zh-CN"/>
    </w:rPr>
  </w:style>
  <w:style w:type="character" w:customStyle="1" w:styleId="Style2">
    <w:name w:val="Style2"/>
    <w:basedOn w:val="a2"/>
    <w:uiPriority w:val="1"/>
    <w:rsid w:val="00912C01"/>
    <w:rPr>
      <w:rFonts w:asciiTheme="minorHAnsi" w:eastAsiaTheme="minorEastAsia" w:hAnsi="宋体" w:cstheme="minorBidi"/>
      <w:bCs w:val="0"/>
      <w:iCs w:val="0"/>
      <w:sz w:val="22"/>
      <w:szCs w:val="22"/>
      <w:lang w:eastAsia="zh-CN"/>
    </w:rPr>
  </w:style>
  <w:style w:type="character" w:customStyle="1" w:styleId="Style3">
    <w:name w:val="Style3"/>
    <w:basedOn w:val="a2"/>
    <w:uiPriority w:val="1"/>
    <w:rsid w:val="00912C01"/>
    <w:rPr>
      <w:rFonts w:asciiTheme="minorHAnsi" w:eastAsiaTheme="minorEastAsia" w:hAnsi="宋体" w:cstheme="minorBidi"/>
      <w:bCs w:val="0"/>
      <w:iCs w:val="0"/>
      <w:sz w:val="22"/>
      <w:szCs w:val="22"/>
      <w:lang w:eastAsia="zh-CN"/>
    </w:rPr>
  </w:style>
  <w:style w:type="character" w:customStyle="1" w:styleId="1Char">
    <w:name w:val="标题 1 Char"/>
    <w:basedOn w:val="a2"/>
    <w:link w:val="1"/>
    <w:uiPriority w:val="9"/>
    <w:qFormat/>
    <w:rsid w:val="002A10F3"/>
    <w:rPr>
      <w:rFonts w:ascii="Times New Roman" w:hAnsi="Times New Roman"/>
      <w:b/>
      <w:bCs/>
      <w:kern w:val="44"/>
      <w:sz w:val="44"/>
      <w:szCs w:val="44"/>
    </w:rPr>
  </w:style>
  <w:style w:type="character" w:styleId="a9">
    <w:name w:val="Hyperlink"/>
    <w:basedOn w:val="a2"/>
    <w:uiPriority w:val="99"/>
    <w:unhideWhenUsed/>
    <w:rsid w:val="00D45E47"/>
    <w:rPr>
      <w:color w:val="0000FF" w:themeColor="hyperlink"/>
      <w:u w:val="single"/>
    </w:rPr>
  </w:style>
  <w:style w:type="paragraph" w:styleId="10">
    <w:name w:val="toc 1"/>
    <w:basedOn w:val="a1"/>
    <w:next w:val="a1"/>
    <w:autoRedefine/>
    <w:uiPriority w:val="39"/>
    <w:unhideWhenUsed/>
    <w:rsid w:val="00F55697"/>
    <w:pPr>
      <w:tabs>
        <w:tab w:val="right" w:leader="dot" w:pos="8834"/>
      </w:tabs>
      <w:spacing w:line="360" w:lineRule="exact"/>
      <w:jc w:val="center"/>
    </w:pPr>
    <w:rPr>
      <w:rFonts w:ascii="黑体" w:eastAsia="黑体" w:hAnsi="黑体"/>
    </w:rPr>
  </w:style>
  <w:style w:type="character" w:styleId="aa">
    <w:name w:val="Placeholder Text"/>
    <w:basedOn w:val="a2"/>
    <w:uiPriority w:val="99"/>
    <w:semiHidden/>
    <w:rsid w:val="002E3197"/>
    <w:rPr>
      <w:color w:val="808080"/>
    </w:rPr>
  </w:style>
  <w:style w:type="paragraph" w:styleId="ab">
    <w:name w:val="Balloon Text"/>
    <w:basedOn w:val="a1"/>
    <w:link w:val="Char2"/>
    <w:uiPriority w:val="99"/>
    <w:semiHidden/>
    <w:unhideWhenUsed/>
    <w:rsid w:val="00AE3139"/>
    <w:rPr>
      <w:sz w:val="18"/>
      <w:szCs w:val="18"/>
    </w:rPr>
  </w:style>
  <w:style w:type="character" w:customStyle="1" w:styleId="Char2">
    <w:name w:val="批注框文本 Char"/>
    <w:basedOn w:val="a2"/>
    <w:link w:val="ab"/>
    <w:uiPriority w:val="99"/>
    <w:semiHidden/>
    <w:rsid w:val="00AE3139"/>
    <w:rPr>
      <w:rFonts w:ascii="Times New Roman" w:hAnsi="Times New Roman"/>
      <w:kern w:val="2"/>
      <w:sz w:val="18"/>
      <w:szCs w:val="18"/>
    </w:rPr>
  </w:style>
  <w:style w:type="paragraph" w:styleId="ac">
    <w:name w:val="caption"/>
    <w:basedOn w:val="a1"/>
    <w:next w:val="a1"/>
    <w:uiPriority w:val="35"/>
    <w:unhideWhenUsed/>
    <w:qFormat/>
    <w:rsid w:val="00A242D4"/>
    <w:rPr>
      <w:rFonts w:asciiTheme="majorHAnsi" w:eastAsia="黑体" w:hAnsiTheme="majorHAnsi" w:cstheme="majorBidi"/>
      <w:sz w:val="20"/>
      <w:szCs w:val="20"/>
    </w:rPr>
  </w:style>
  <w:style w:type="character" w:styleId="ad">
    <w:name w:val="annotation reference"/>
    <w:basedOn w:val="a2"/>
    <w:uiPriority w:val="99"/>
    <w:semiHidden/>
    <w:unhideWhenUsed/>
    <w:rsid w:val="004A3935"/>
    <w:rPr>
      <w:sz w:val="21"/>
      <w:szCs w:val="21"/>
    </w:rPr>
  </w:style>
  <w:style w:type="paragraph" w:styleId="ae">
    <w:name w:val="annotation text"/>
    <w:basedOn w:val="a1"/>
    <w:link w:val="Char3"/>
    <w:uiPriority w:val="99"/>
    <w:semiHidden/>
    <w:unhideWhenUsed/>
    <w:rsid w:val="004A3935"/>
    <w:pPr>
      <w:jc w:val="left"/>
    </w:pPr>
  </w:style>
  <w:style w:type="character" w:customStyle="1" w:styleId="Char3">
    <w:name w:val="批注文字 Char"/>
    <w:basedOn w:val="a2"/>
    <w:link w:val="ae"/>
    <w:uiPriority w:val="99"/>
    <w:semiHidden/>
    <w:rsid w:val="004A3935"/>
    <w:rPr>
      <w:rFonts w:ascii="Times New Roman" w:hAnsi="Times New Roman"/>
      <w:kern w:val="2"/>
      <w:sz w:val="21"/>
      <w:szCs w:val="22"/>
    </w:rPr>
  </w:style>
  <w:style w:type="paragraph" w:styleId="af">
    <w:name w:val="annotation subject"/>
    <w:basedOn w:val="ae"/>
    <w:next w:val="ae"/>
    <w:link w:val="Char4"/>
    <w:uiPriority w:val="99"/>
    <w:semiHidden/>
    <w:unhideWhenUsed/>
    <w:rsid w:val="004A3935"/>
    <w:rPr>
      <w:b/>
      <w:bCs/>
    </w:rPr>
  </w:style>
  <w:style w:type="character" w:customStyle="1" w:styleId="Char4">
    <w:name w:val="批注主题 Char"/>
    <w:basedOn w:val="Char3"/>
    <w:link w:val="af"/>
    <w:uiPriority w:val="99"/>
    <w:semiHidden/>
    <w:rsid w:val="004A3935"/>
    <w:rPr>
      <w:rFonts w:ascii="Times New Roman" w:hAnsi="Times New Roman"/>
      <w:b/>
      <w:bCs/>
      <w:kern w:val="2"/>
      <w:sz w:val="21"/>
      <w:szCs w:val="22"/>
    </w:rPr>
  </w:style>
  <w:style w:type="character" w:customStyle="1" w:styleId="2Char">
    <w:name w:val="标题 2 Char"/>
    <w:basedOn w:val="a2"/>
    <w:link w:val="21"/>
    <w:uiPriority w:val="9"/>
    <w:semiHidden/>
    <w:rsid w:val="00523EFA"/>
    <w:rPr>
      <w:rFonts w:asciiTheme="majorHAnsi" w:eastAsiaTheme="majorEastAsia" w:hAnsiTheme="majorHAnsi" w:cstheme="majorBidi"/>
      <w:b/>
      <w:bCs/>
      <w:kern w:val="2"/>
      <w:sz w:val="32"/>
      <w:szCs w:val="32"/>
    </w:rPr>
  </w:style>
  <w:style w:type="character" w:customStyle="1" w:styleId="3Char">
    <w:name w:val="标题 3 Char"/>
    <w:basedOn w:val="a2"/>
    <w:link w:val="31"/>
    <w:uiPriority w:val="9"/>
    <w:semiHidden/>
    <w:rsid w:val="00523EFA"/>
    <w:rPr>
      <w:rFonts w:ascii="Times New Roman" w:hAnsi="Times New Roman"/>
      <w:b/>
      <w:bCs/>
      <w:kern w:val="2"/>
      <w:sz w:val="32"/>
      <w:szCs w:val="32"/>
    </w:rPr>
  </w:style>
  <w:style w:type="character" w:customStyle="1" w:styleId="4Char">
    <w:name w:val="标题 4 Char"/>
    <w:basedOn w:val="a2"/>
    <w:link w:val="41"/>
    <w:uiPriority w:val="9"/>
    <w:semiHidden/>
    <w:rsid w:val="00523EFA"/>
    <w:rPr>
      <w:rFonts w:asciiTheme="majorHAnsi" w:eastAsiaTheme="majorEastAsia" w:hAnsiTheme="majorHAnsi" w:cstheme="majorBidi"/>
      <w:b/>
      <w:bCs/>
      <w:kern w:val="2"/>
      <w:sz w:val="28"/>
      <w:szCs w:val="28"/>
    </w:rPr>
  </w:style>
  <w:style w:type="character" w:customStyle="1" w:styleId="5Char">
    <w:name w:val="标题 5 Char"/>
    <w:basedOn w:val="a2"/>
    <w:link w:val="51"/>
    <w:uiPriority w:val="9"/>
    <w:semiHidden/>
    <w:rsid w:val="00523EFA"/>
    <w:rPr>
      <w:rFonts w:ascii="Times New Roman" w:hAnsi="Times New Roman"/>
      <w:b/>
      <w:bCs/>
      <w:kern w:val="2"/>
      <w:sz w:val="28"/>
      <w:szCs w:val="28"/>
    </w:rPr>
  </w:style>
  <w:style w:type="character" w:customStyle="1" w:styleId="6Char">
    <w:name w:val="标题 6 Char"/>
    <w:basedOn w:val="a2"/>
    <w:link w:val="6"/>
    <w:uiPriority w:val="9"/>
    <w:semiHidden/>
    <w:rsid w:val="00523EFA"/>
    <w:rPr>
      <w:rFonts w:asciiTheme="majorHAnsi" w:eastAsiaTheme="majorEastAsia" w:hAnsiTheme="majorHAnsi" w:cstheme="majorBidi"/>
      <w:b/>
      <w:bCs/>
      <w:kern w:val="2"/>
      <w:sz w:val="24"/>
      <w:szCs w:val="24"/>
    </w:rPr>
  </w:style>
  <w:style w:type="character" w:customStyle="1" w:styleId="7Char">
    <w:name w:val="标题 7 Char"/>
    <w:basedOn w:val="a2"/>
    <w:link w:val="7"/>
    <w:uiPriority w:val="9"/>
    <w:semiHidden/>
    <w:rsid w:val="00523EFA"/>
    <w:rPr>
      <w:rFonts w:ascii="Times New Roman" w:hAnsi="Times New Roman"/>
      <w:b/>
      <w:bCs/>
      <w:kern w:val="2"/>
      <w:sz w:val="24"/>
      <w:szCs w:val="24"/>
    </w:rPr>
  </w:style>
  <w:style w:type="character" w:customStyle="1" w:styleId="8Char">
    <w:name w:val="标题 8 Char"/>
    <w:basedOn w:val="a2"/>
    <w:link w:val="8"/>
    <w:uiPriority w:val="9"/>
    <w:semiHidden/>
    <w:rsid w:val="00523EFA"/>
    <w:rPr>
      <w:rFonts w:asciiTheme="majorHAnsi" w:eastAsiaTheme="majorEastAsia" w:hAnsiTheme="majorHAnsi" w:cstheme="majorBidi"/>
      <w:kern w:val="2"/>
      <w:sz w:val="24"/>
      <w:szCs w:val="24"/>
    </w:rPr>
  </w:style>
  <w:style w:type="character" w:customStyle="1" w:styleId="9Char">
    <w:name w:val="标题 9 Char"/>
    <w:basedOn w:val="a2"/>
    <w:link w:val="9"/>
    <w:uiPriority w:val="9"/>
    <w:semiHidden/>
    <w:rsid w:val="00523EFA"/>
    <w:rPr>
      <w:rFonts w:asciiTheme="majorHAnsi" w:eastAsiaTheme="majorEastAsia" w:hAnsiTheme="majorHAnsi" w:cstheme="majorBidi"/>
      <w:kern w:val="2"/>
      <w:sz w:val="21"/>
      <w:szCs w:val="21"/>
    </w:rPr>
  </w:style>
  <w:style w:type="paragraph" w:styleId="af0">
    <w:name w:val="Title"/>
    <w:basedOn w:val="a1"/>
    <w:next w:val="a1"/>
    <w:link w:val="Char5"/>
    <w:uiPriority w:val="10"/>
    <w:qFormat/>
    <w:rsid w:val="00523EFA"/>
    <w:pPr>
      <w:spacing w:before="240" w:after="60"/>
      <w:jc w:val="center"/>
      <w:outlineLvl w:val="0"/>
    </w:pPr>
    <w:rPr>
      <w:rFonts w:asciiTheme="majorHAnsi" w:hAnsiTheme="majorHAnsi" w:cstheme="majorBidi"/>
      <w:b/>
      <w:bCs/>
      <w:sz w:val="32"/>
      <w:szCs w:val="32"/>
    </w:rPr>
  </w:style>
  <w:style w:type="character" w:customStyle="1" w:styleId="Char5">
    <w:name w:val="标题 Char"/>
    <w:basedOn w:val="a2"/>
    <w:link w:val="af0"/>
    <w:uiPriority w:val="10"/>
    <w:rsid w:val="00523EFA"/>
    <w:rPr>
      <w:rFonts w:asciiTheme="majorHAnsi" w:hAnsiTheme="majorHAnsi" w:cstheme="majorBidi"/>
      <w:b/>
      <w:bCs/>
      <w:kern w:val="2"/>
      <w:sz w:val="32"/>
      <w:szCs w:val="32"/>
    </w:rPr>
  </w:style>
  <w:style w:type="paragraph" w:styleId="af1">
    <w:name w:val="List Paragraph"/>
    <w:basedOn w:val="a1"/>
    <w:uiPriority w:val="34"/>
    <w:qFormat/>
    <w:rsid w:val="00523EFA"/>
    <w:pPr>
      <w:ind w:firstLineChars="200" w:firstLine="420"/>
    </w:pPr>
  </w:style>
  <w:style w:type="paragraph" w:styleId="HTML">
    <w:name w:val="HTML Address"/>
    <w:basedOn w:val="a1"/>
    <w:link w:val="HTMLChar"/>
    <w:uiPriority w:val="99"/>
    <w:semiHidden/>
    <w:unhideWhenUsed/>
    <w:rsid w:val="00523EFA"/>
    <w:rPr>
      <w:i/>
      <w:iCs/>
    </w:rPr>
  </w:style>
  <w:style w:type="character" w:customStyle="1" w:styleId="HTMLChar">
    <w:name w:val="HTML 地址 Char"/>
    <w:basedOn w:val="a2"/>
    <w:link w:val="HTML"/>
    <w:uiPriority w:val="99"/>
    <w:semiHidden/>
    <w:rsid w:val="00523EFA"/>
    <w:rPr>
      <w:rFonts w:ascii="Times New Roman" w:hAnsi="Times New Roman"/>
      <w:i/>
      <w:iCs/>
      <w:kern w:val="2"/>
      <w:sz w:val="21"/>
      <w:szCs w:val="22"/>
    </w:rPr>
  </w:style>
  <w:style w:type="paragraph" w:styleId="HTML0">
    <w:name w:val="HTML Preformatted"/>
    <w:basedOn w:val="a1"/>
    <w:link w:val="HTMLChar0"/>
    <w:uiPriority w:val="99"/>
    <w:semiHidden/>
    <w:unhideWhenUsed/>
    <w:rsid w:val="00523EFA"/>
    <w:rPr>
      <w:rFonts w:ascii="Courier New" w:hAnsi="Courier New" w:cs="Courier New"/>
      <w:sz w:val="20"/>
      <w:szCs w:val="20"/>
    </w:rPr>
  </w:style>
  <w:style w:type="character" w:customStyle="1" w:styleId="HTMLChar0">
    <w:name w:val="HTML 预设格式 Char"/>
    <w:basedOn w:val="a2"/>
    <w:link w:val="HTML0"/>
    <w:uiPriority w:val="99"/>
    <w:semiHidden/>
    <w:rsid w:val="00523EFA"/>
    <w:rPr>
      <w:rFonts w:ascii="Courier New" w:hAnsi="Courier New" w:cs="Courier New"/>
      <w:kern w:val="2"/>
    </w:rPr>
  </w:style>
  <w:style w:type="paragraph" w:styleId="TOC">
    <w:name w:val="TOC Heading"/>
    <w:basedOn w:val="1"/>
    <w:next w:val="a1"/>
    <w:uiPriority w:val="39"/>
    <w:semiHidden/>
    <w:unhideWhenUsed/>
    <w:qFormat/>
    <w:rsid w:val="00523EFA"/>
    <w:pPr>
      <w:outlineLvl w:val="9"/>
    </w:pPr>
  </w:style>
  <w:style w:type="paragraph" w:styleId="af2">
    <w:name w:val="Salutation"/>
    <w:basedOn w:val="a1"/>
    <w:next w:val="a1"/>
    <w:link w:val="Char6"/>
    <w:uiPriority w:val="99"/>
    <w:semiHidden/>
    <w:unhideWhenUsed/>
    <w:rsid w:val="00523EFA"/>
  </w:style>
  <w:style w:type="character" w:customStyle="1" w:styleId="Char6">
    <w:name w:val="称呼 Char"/>
    <w:basedOn w:val="a2"/>
    <w:link w:val="af2"/>
    <w:uiPriority w:val="99"/>
    <w:semiHidden/>
    <w:rsid w:val="00523EFA"/>
    <w:rPr>
      <w:rFonts w:ascii="Times New Roman" w:hAnsi="Times New Roman"/>
      <w:kern w:val="2"/>
      <w:sz w:val="21"/>
      <w:szCs w:val="22"/>
    </w:rPr>
  </w:style>
  <w:style w:type="paragraph" w:styleId="af3">
    <w:name w:val="Plain Text"/>
    <w:basedOn w:val="a1"/>
    <w:link w:val="Char7"/>
    <w:uiPriority w:val="99"/>
    <w:semiHidden/>
    <w:unhideWhenUsed/>
    <w:rsid w:val="00523EFA"/>
    <w:rPr>
      <w:rFonts w:ascii="宋体" w:hAnsi="Courier New" w:cs="Courier New"/>
      <w:szCs w:val="21"/>
    </w:rPr>
  </w:style>
  <w:style w:type="character" w:customStyle="1" w:styleId="Char7">
    <w:name w:val="纯文本 Char"/>
    <w:basedOn w:val="a2"/>
    <w:link w:val="af3"/>
    <w:uiPriority w:val="99"/>
    <w:semiHidden/>
    <w:rsid w:val="00523EFA"/>
    <w:rPr>
      <w:rFonts w:ascii="宋体" w:hAnsi="Courier New" w:cs="Courier New"/>
      <w:kern w:val="2"/>
      <w:sz w:val="21"/>
      <w:szCs w:val="21"/>
    </w:rPr>
  </w:style>
  <w:style w:type="paragraph" w:styleId="af4">
    <w:name w:val="E-mail Signature"/>
    <w:basedOn w:val="a1"/>
    <w:link w:val="Char8"/>
    <w:uiPriority w:val="99"/>
    <w:semiHidden/>
    <w:unhideWhenUsed/>
    <w:rsid w:val="00523EFA"/>
  </w:style>
  <w:style w:type="character" w:customStyle="1" w:styleId="Char8">
    <w:name w:val="电子邮件签名 Char"/>
    <w:basedOn w:val="a2"/>
    <w:link w:val="af4"/>
    <w:uiPriority w:val="99"/>
    <w:semiHidden/>
    <w:rsid w:val="00523EFA"/>
    <w:rPr>
      <w:rFonts w:ascii="Times New Roman" w:hAnsi="Times New Roman"/>
      <w:kern w:val="2"/>
      <w:sz w:val="21"/>
      <w:szCs w:val="22"/>
    </w:rPr>
  </w:style>
  <w:style w:type="paragraph" w:styleId="af5">
    <w:name w:val="Subtitle"/>
    <w:basedOn w:val="a1"/>
    <w:next w:val="a1"/>
    <w:link w:val="Char9"/>
    <w:uiPriority w:val="11"/>
    <w:qFormat/>
    <w:rsid w:val="00523EFA"/>
    <w:pPr>
      <w:spacing w:before="240" w:after="60" w:line="312" w:lineRule="auto"/>
      <w:jc w:val="center"/>
      <w:outlineLvl w:val="1"/>
    </w:pPr>
    <w:rPr>
      <w:rFonts w:asciiTheme="majorHAnsi" w:hAnsiTheme="majorHAnsi" w:cstheme="majorBidi"/>
      <w:b/>
      <w:bCs/>
      <w:kern w:val="28"/>
      <w:sz w:val="32"/>
      <w:szCs w:val="32"/>
    </w:rPr>
  </w:style>
  <w:style w:type="character" w:customStyle="1" w:styleId="Char9">
    <w:name w:val="副标题 Char"/>
    <w:basedOn w:val="a2"/>
    <w:link w:val="af5"/>
    <w:uiPriority w:val="11"/>
    <w:rsid w:val="00523EFA"/>
    <w:rPr>
      <w:rFonts w:asciiTheme="majorHAnsi" w:hAnsiTheme="majorHAnsi" w:cstheme="majorBidi"/>
      <w:b/>
      <w:bCs/>
      <w:kern w:val="28"/>
      <w:sz w:val="32"/>
      <w:szCs w:val="32"/>
    </w:rPr>
  </w:style>
  <w:style w:type="paragraph" w:styleId="af6">
    <w:name w:val="macro"/>
    <w:link w:val="Chara"/>
    <w:uiPriority w:val="99"/>
    <w:semiHidden/>
    <w:unhideWhenUsed/>
    <w:rsid w:val="00523EFA"/>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Chara">
    <w:name w:val="宏文本 Char"/>
    <w:basedOn w:val="a2"/>
    <w:link w:val="af6"/>
    <w:uiPriority w:val="99"/>
    <w:semiHidden/>
    <w:rsid w:val="00523EFA"/>
    <w:rPr>
      <w:rFonts w:ascii="Courier New" w:hAnsi="Courier New" w:cs="Courier New"/>
      <w:kern w:val="2"/>
      <w:sz w:val="24"/>
      <w:szCs w:val="24"/>
    </w:rPr>
  </w:style>
  <w:style w:type="paragraph" w:styleId="af7">
    <w:name w:val="envelope return"/>
    <w:basedOn w:val="a1"/>
    <w:uiPriority w:val="99"/>
    <w:semiHidden/>
    <w:unhideWhenUsed/>
    <w:rsid w:val="00523EFA"/>
    <w:pPr>
      <w:snapToGrid w:val="0"/>
    </w:pPr>
    <w:rPr>
      <w:rFonts w:asciiTheme="majorHAnsi" w:eastAsiaTheme="majorEastAsia" w:hAnsiTheme="majorHAnsi" w:cstheme="majorBidi"/>
    </w:rPr>
  </w:style>
  <w:style w:type="paragraph" w:styleId="af8">
    <w:name w:val="footnote text"/>
    <w:basedOn w:val="a1"/>
    <w:link w:val="Charb"/>
    <w:uiPriority w:val="99"/>
    <w:semiHidden/>
    <w:unhideWhenUsed/>
    <w:rsid w:val="00523EFA"/>
    <w:pPr>
      <w:snapToGrid w:val="0"/>
      <w:jc w:val="left"/>
    </w:pPr>
    <w:rPr>
      <w:sz w:val="18"/>
      <w:szCs w:val="18"/>
    </w:rPr>
  </w:style>
  <w:style w:type="character" w:customStyle="1" w:styleId="Charb">
    <w:name w:val="脚注文本 Char"/>
    <w:basedOn w:val="a2"/>
    <w:link w:val="af8"/>
    <w:uiPriority w:val="99"/>
    <w:semiHidden/>
    <w:rsid w:val="00523EFA"/>
    <w:rPr>
      <w:rFonts w:ascii="Times New Roman" w:hAnsi="Times New Roman"/>
      <w:kern w:val="2"/>
      <w:sz w:val="18"/>
      <w:szCs w:val="18"/>
    </w:rPr>
  </w:style>
  <w:style w:type="paragraph" w:styleId="af9">
    <w:name w:val="Closing"/>
    <w:basedOn w:val="a1"/>
    <w:link w:val="Charc"/>
    <w:uiPriority w:val="99"/>
    <w:semiHidden/>
    <w:unhideWhenUsed/>
    <w:rsid w:val="00523EFA"/>
    <w:pPr>
      <w:ind w:leftChars="2100" w:left="100"/>
    </w:pPr>
  </w:style>
  <w:style w:type="character" w:customStyle="1" w:styleId="Charc">
    <w:name w:val="结束语 Char"/>
    <w:basedOn w:val="a2"/>
    <w:link w:val="af9"/>
    <w:uiPriority w:val="99"/>
    <w:semiHidden/>
    <w:rsid w:val="00523EFA"/>
    <w:rPr>
      <w:rFonts w:ascii="Times New Roman" w:hAnsi="Times New Roman"/>
      <w:kern w:val="2"/>
      <w:sz w:val="21"/>
      <w:szCs w:val="22"/>
    </w:rPr>
  </w:style>
  <w:style w:type="paragraph" w:styleId="afa">
    <w:name w:val="List"/>
    <w:basedOn w:val="a1"/>
    <w:uiPriority w:val="99"/>
    <w:semiHidden/>
    <w:unhideWhenUsed/>
    <w:rsid w:val="00523EFA"/>
    <w:pPr>
      <w:ind w:left="200" w:hangingChars="200" w:hanging="200"/>
      <w:contextualSpacing/>
    </w:pPr>
  </w:style>
  <w:style w:type="paragraph" w:styleId="22">
    <w:name w:val="List 2"/>
    <w:basedOn w:val="a1"/>
    <w:uiPriority w:val="99"/>
    <w:semiHidden/>
    <w:unhideWhenUsed/>
    <w:rsid w:val="00523EFA"/>
    <w:pPr>
      <w:ind w:leftChars="200" w:left="100" w:hangingChars="200" w:hanging="200"/>
      <w:contextualSpacing/>
    </w:pPr>
  </w:style>
  <w:style w:type="paragraph" w:styleId="32">
    <w:name w:val="List 3"/>
    <w:basedOn w:val="a1"/>
    <w:uiPriority w:val="99"/>
    <w:semiHidden/>
    <w:unhideWhenUsed/>
    <w:rsid w:val="00523EFA"/>
    <w:pPr>
      <w:ind w:leftChars="400" w:left="100" w:hangingChars="200" w:hanging="200"/>
      <w:contextualSpacing/>
    </w:pPr>
  </w:style>
  <w:style w:type="paragraph" w:styleId="42">
    <w:name w:val="List 4"/>
    <w:basedOn w:val="a1"/>
    <w:uiPriority w:val="99"/>
    <w:semiHidden/>
    <w:unhideWhenUsed/>
    <w:rsid w:val="00523EFA"/>
    <w:pPr>
      <w:ind w:leftChars="600" w:left="100" w:hangingChars="200" w:hanging="200"/>
      <w:contextualSpacing/>
    </w:pPr>
  </w:style>
  <w:style w:type="paragraph" w:styleId="52">
    <w:name w:val="List 5"/>
    <w:basedOn w:val="a1"/>
    <w:uiPriority w:val="99"/>
    <w:semiHidden/>
    <w:unhideWhenUsed/>
    <w:rsid w:val="00523EFA"/>
    <w:pPr>
      <w:ind w:leftChars="800" w:left="100" w:hangingChars="200" w:hanging="200"/>
      <w:contextualSpacing/>
    </w:pPr>
  </w:style>
  <w:style w:type="paragraph" w:styleId="a">
    <w:name w:val="List Number"/>
    <w:basedOn w:val="a1"/>
    <w:uiPriority w:val="99"/>
    <w:semiHidden/>
    <w:unhideWhenUsed/>
    <w:rsid w:val="00523EFA"/>
    <w:pPr>
      <w:numPr>
        <w:numId w:val="7"/>
      </w:numPr>
      <w:contextualSpacing/>
    </w:pPr>
  </w:style>
  <w:style w:type="paragraph" w:styleId="2">
    <w:name w:val="List Number 2"/>
    <w:basedOn w:val="a1"/>
    <w:uiPriority w:val="99"/>
    <w:semiHidden/>
    <w:unhideWhenUsed/>
    <w:rsid w:val="00523EFA"/>
    <w:pPr>
      <w:numPr>
        <w:numId w:val="8"/>
      </w:numPr>
      <w:contextualSpacing/>
    </w:pPr>
  </w:style>
  <w:style w:type="paragraph" w:styleId="3">
    <w:name w:val="List Number 3"/>
    <w:basedOn w:val="a1"/>
    <w:uiPriority w:val="99"/>
    <w:semiHidden/>
    <w:unhideWhenUsed/>
    <w:rsid w:val="00523EFA"/>
    <w:pPr>
      <w:numPr>
        <w:numId w:val="9"/>
      </w:numPr>
      <w:contextualSpacing/>
    </w:pPr>
  </w:style>
  <w:style w:type="paragraph" w:styleId="4">
    <w:name w:val="List Number 4"/>
    <w:basedOn w:val="a1"/>
    <w:uiPriority w:val="99"/>
    <w:semiHidden/>
    <w:unhideWhenUsed/>
    <w:rsid w:val="00523EFA"/>
    <w:pPr>
      <w:numPr>
        <w:numId w:val="10"/>
      </w:numPr>
      <w:contextualSpacing/>
    </w:pPr>
  </w:style>
  <w:style w:type="paragraph" w:styleId="5">
    <w:name w:val="List Number 5"/>
    <w:basedOn w:val="a1"/>
    <w:uiPriority w:val="99"/>
    <w:semiHidden/>
    <w:unhideWhenUsed/>
    <w:rsid w:val="00523EFA"/>
    <w:pPr>
      <w:numPr>
        <w:numId w:val="11"/>
      </w:numPr>
      <w:contextualSpacing/>
    </w:pPr>
  </w:style>
  <w:style w:type="paragraph" w:styleId="afb">
    <w:name w:val="List Continue"/>
    <w:basedOn w:val="a1"/>
    <w:uiPriority w:val="99"/>
    <w:semiHidden/>
    <w:unhideWhenUsed/>
    <w:rsid w:val="00523EFA"/>
    <w:pPr>
      <w:spacing w:after="120"/>
      <w:ind w:leftChars="200" w:left="420"/>
      <w:contextualSpacing/>
    </w:pPr>
  </w:style>
  <w:style w:type="paragraph" w:styleId="23">
    <w:name w:val="List Continue 2"/>
    <w:basedOn w:val="a1"/>
    <w:uiPriority w:val="99"/>
    <w:semiHidden/>
    <w:unhideWhenUsed/>
    <w:rsid w:val="00523EFA"/>
    <w:pPr>
      <w:spacing w:after="120"/>
      <w:ind w:leftChars="400" w:left="840"/>
      <w:contextualSpacing/>
    </w:pPr>
  </w:style>
  <w:style w:type="paragraph" w:styleId="33">
    <w:name w:val="List Continue 3"/>
    <w:basedOn w:val="a1"/>
    <w:uiPriority w:val="99"/>
    <w:semiHidden/>
    <w:unhideWhenUsed/>
    <w:rsid w:val="00523EFA"/>
    <w:pPr>
      <w:spacing w:after="120"/>
      <w:ind w:leftChars="600" w:left="1260"/>
      <w:contextualSpacing/>
    </w:pPr>
  </w:style>
  <w:style w:type="paragraph" w:styleId="43">
    <w:name w:val="List Continue 4"/>
    <w:basedOn w:val="a1"/>
    <w:uiPriority w:val="99"/>
    <w:semiHidden/>
    <w:unhideWhenUsed/>
    <w:rsid w:val="00523EFA"/>
    <w:pPr>
      <w:spacing w:after="120"/>
      <w:ind w:leftChars="800" w:left="1680"/>
      <w:contextualSpacing/>
    </w:pPr>
  </w:style>
  <w:style w:type="paragraph" w:styleId="53">
    <w:name w:val="List Continue 5"/>
    <w:basedOn w:val="a1"/>
    <w:uiPriority w:val="99"/>
    <w:semiHidden/>
    <w:unhideWhenUsed/>
    <w:rsid w:val="00523EFA"/>
    <w:pPr>
      <w:spacing w:after="120"/>
      <w:ind w:leftChars="1000" w:left="2100"/>
      <w:contextualSpacing/>
    </w:pPr>
  </w:style>
  <w:style w:type="paragraph" w:styleId="a0">
    <w:name w:val="List Bullet"/>
    <w:basedOn w:val="a1"/>
    <w:uiPriority w:val="99"/>
    <w:semiHidden/>
    <w:unhideWhenUsed/>
    <w:rsid w:val="00523EFA"/>
    <w:pPr>
      <w:numPr>
        <w:numId w:val="12"/>
      </w:numPr>
      <w:contextualSpacing/>
    </w:pPr>
  </w:style>
  <w:style w:type="paragraph" w:styleId="20">
    <w:name w:val="List Bullet 2"/>
    <w:basedOn w:val="a1"/>
    <w:uiPriority w:val="99"/>
    <w:semiHidden/>
    <w:unhideWhenUsed/>
    <w:rsid w:val="00523EFA"/>
    <w:pPr>
      <w:numPr>
        <w:numId w:val="13"/>
      </w:numPr>
      <w:tabs>
        <w:tab w:val="clear" w:pos="780"/>
        <w:tab w:val="num" w:pos="360"/>
      </w:tabs>
      <w:ind w:leftChars="0" w:left="0" w:firstLineChars="0" w:firstLine="0"/>
      <w:contextualSpacing/>
    </w:pPr>
  </w:style>
  <w:style w:type="paragraph" w:styleId="30">
    <w:name w:val="List Bullet 3"/>
    <w:basedOn w:val="a1"/>
    <w:uiPriority w:val="99"/>
    <w:semiHidden/>
    <w:unhideWhenUsed/>
    <w:rsid w:val="00523EFA"/>
    <w:pPr>
      <w:numPr>
        <w:numId w:val="14"/>
      </w:numPr>
      <w:contextualSpacing/>
    </w:pPr>
  </w:style>
  <w:style w:type="paragraph" w:styleId="40">
    <w:name w:val="List Bullet 4"/>
    <w:basedOn w:val="a1"/>
    <w:uiPriority w:val="99"/>
    <w:semiHidden/>
    <w:unhideWhenUsed/>
    <w:rsid w:val="00523EFA"/>
    <w:pPr>
      <w:numPr>
        <w:numId w:val="15"/>
      </w:numPr>
      <w:contextualSpacing/>
    </w:pPr>
  </w:style>
  <w:style w:type="paragraph" w:styleId="50">
    <w:name w:val="List Bullet 5"/>
    <w:basedOn w:val="a1"/>
    <w:uiPriority w:val="99"/>
    <w:semiHidden/>
    <w:unhideWhenUsed/>
    <w:rsid w:val="00523EFA"/>
    <w:pPr>
      <w:numPr>
        <w:numId w:val="16"/>
      </w:numPr>
      <w:contextualSpacing/>
    </w:pPr>
  </w:style>
  <w:style w:type="paragraph" w:styleId="afc">
    <w:name w:val="Intense Quote"/>
    <w:basedOn w:val="a1"/>
    <w:next w:val="a1"/>
    <w:link w:val="Chard"/>
    <w:uiPriority w:val="30"/>
    <w:qFormat/>
    <w:rsid w:val="00523EFA"/>
    <w:pPr>
      <w:pBdr>
        <w:bottom w:val="single" w:sz="4" w:space="4" w:color="4F81BD" w:themeColor="accent1"/>
      </w:pBdr>
      <w:spacing w:before="200" w:after="280"/>
      <w:ind w:left="936" w:right="936"/>
    </w:pPr>
    <w:rPr>
      <w:b/>
      <w:bCs/>
      <w:i/>
      <w:iCs/>
      <w:color w:val="4F81BD" w:themeColor="accent1"/>
    </w:rPr>
  </w:style>
  <w:style w:type="character" w:customStyle="1" w:styleId="Chard">
    <w:name w:val="明显引用 Char"/>
    <w:basedOn w:val="a2"/>
    <w:link w:val="afc"/>
    <w:uiPriority w:val="30"/>
    <w:rsid w:val="00523EFA"/>
    <w:rPr>
      <w:rFonts w:ascii="Times New Roman" w:hAnsi="Times New Roman"/>
      <w:b/>
      <w:bCs/>
      <w:i/>
      <w:iCs/>
      <w:color w:val="4F81BD" w:themeColor="accent1"/>
      <w:kern w:val="2"/>
      <w:sz w:val="21"/>
      <w:szCs w:val="22"/>
    </w:rPr>
  </w:style>
  <w:style w:type="paragraph" w:styleId="24">
    <w:name w:val="toc 2"/>
    <w:basedOn w:val="a1"/>
    <w:next w:val="a1"/>
    <w:autoRedefine/>
    <w:uiPriority w:val="39"/>
    <w:semiHidden/>
    <w:unhideWhenUsed/>
    <w:rsid w:val="00523EFA"/>
    <w:pPr>
      <w:ind w:leftChars="200" w:left="420"/>
    </w:pPr>
  </w:style>
  <w:style w:type="paragraph" w:styleId="34">
    <w:name w:val="toc 3"/>
    <w:basedOn w:val="a1"/>
    <w:next w:val="a1"/>
    <w:autoRedefine/>
    <w:uiPriority w:val="39"/>
    <w:semiHidden/>
    <w:unhideWhenUsed/>
    <w:rsid w:val="00523EFA"/>
    <w:pPr>
      <w:ind w:leftChars="400" w:left="840"/>
    </w:pPr>
  </w:style>
  <w:style w:type="paragraph" w:styleId="44">
    <w:name w:val="toc 4"/>
    <w:basedOn w:val="a1"/>
    <w:next w:val="a1"/>
    <w:autoRedefine/>
    <w:uiPriority w:val="39"/>
    <w:semiHidden/>
    <w:unhideWhenUsed/>
    <w:rsid w:val="00523EFA"/>
    <w:pPr>
      <w:ind w:leftChars="600" w:left="1260"/>
    </w:pPr>
  </w:style>
  <w:style w:type="paragraph" w:styleId="54">
    <w:name w:val="toc 5"/>
    <w:basedOn w:val="a1"/>
    <w:next w:val="a1"/>
    <w:autoRedefine/>
    <w:uiPriority w:val="39"/>
    <w:semiHidden/>
    <w:unhideWhenUsed/>
    <w:rsid w:val="00523EFA"/>
    <w:pPr>
      <w:ind w:leftChars="800" w:left="1680"/>
    </w:pPr>
  </w:style>
  <w:style w:type="paragraph" w:styleId="60">
    <w:name w:val="toc 6"/>
    <w:basedOn w:val="a1"/>
    <w:next w:val="a1"/>
    <w:autoRedefine/>
    <w:uiPriority w:val="39"/>
    <w:semiHidden/>
    <w:unhideWhenUsed/>
    <w:rsid w:val="00523EFA"/>
    <w:pPr>
      <w:ind w:leftChars="1000" w:left="2100"/>
    </w:pPr>
  </w:style>
  <w:style w:type="paragraph" w:styleId="70">
    <w:name w:val="toc 7"/>
    <w:basedOn w:val="a1"/>
    <w:next w:val="a1"/>
    <w:autoRedefine/>
    <w:uiPriority w:val="39"/>
    <w:semiHidden/>
    <w:unhideWhenUsed/>
    <w:rsid w:val="00523EFA"/>
    <w:pPr>
      <w:ind w:leftChars="1200" w:left="2520"/>
    </w:pPr>
  </w:style>
  <w:style w:type="paragraph" w:styleId="80">
    <w:name w:val="toc 8"/>
    <w:basedOn w:val="a1"/>
    <w:next w:val="a1"/>
    <w:autoRedefine/>
    <w:uiPriority w:val="39"/>
    <w:semiHidden/>
    <w:unhideWhenUsed/>
    <w:rsid w:val="00523EFA"/>
    <w:pPr>
      <w:ind w:leftChars="1400" w:left="2940"/>
    </w:pPr>
  </w:style>
  <w:style w:type="paragraph" w:styleId="90">
    <w:name w:val="toc 9"/>
    <w:basedOn w:val="a1"/>
    <w:next w:val="a1"/>
    <w:autoRedefine/>
    <w:uiPriority w:val="39"/>
    <w:semiHidden/>
    <w:unhideWhenUsed/>
    <w:rsid w:val="00523EFA"/>
    <w:pPr>
      <w:ind w:leftChars="1600" w:left="3360"/>
    </w:pPr>
  </w:style>
  <w:style w:type="paragraph" w:styleId="afd">
    <w:name w:val="Normal (Web)"/>
    <w:basedOn w:val="a1"/>
    <w:uiPriority w:val="99"/>
    <w:semiHidden/>
    <w:unhideWhenUsed/>
    <w:rsid w:val="00523EFA"/>
    <w:rPr>
      <w:sz w:val="24"/>
      <w:szCs w:val="24"/>
    </w:rPr>
  </w:style>
  <w:style w:type="paragraph" w:styleId="afe">
    <w:name w:val="Signature"/>
    <w:basedOn w:val="a1"/>
    <w:link w:val="Chare"/>
    <w:uiPriority w:val="99"/>
    <w:semiHidden/>
    <w:unhideWhenUsed/>
    <w:rsid w:val="00523EFA"/>
    <w:pPr>
      <w:ind w:leftChars="2100" w:left="100"/>
    </w:pPr>
  </w:style>
  <w:style w:type="character" w:customStyle="1" w:styleId="Chare">
    <w:name w:val="签名 Char"/>
    <w:basedOn w:val="a2"/>
    <w:link w:val="afe"/>
    <w:uiPriority w:val="99"/>
    <w:semiHidden/>
    <w:rsid w:val="00523EFA"/>
    <w:rPr>
      <w:rFonts w:ascii="Times New Roman" w:hAnsi="Times New Roman"/>
      <w:kern w:val="2"/>
      <w:sz w:val="21"/>
      <w:szCs w:val="22"/>
    </w:rPr>
  </w:style>
  <w:style w:type="paragraph" w:styleId="aff">
    <w:name w:val="Date"/>
    <w:basedOn w:val="a1"/>
    <w:next w:val="a1"/>
    <w:link w:val="Charf"/>
    <w:uiPriority w:val="99"/>
    <w:semiHidden/>
    <w:unhideWhenUsed/>
    <w:rsid w:val="00523EFA"/>
    <w:pPr>
      <w:ind w:leftChars="2500" w:left="100"/>
    </w:pPr>
  </w:style>
  <w:style w:type="character" w:customStyle="1" w:styleId="Charf">
    <w:name w:val="日期 Char"/>
    <w:basedOn w:val="a2"/>
    <w:link w:val="aff"/>
    <w:uiPriority w:val="99"/>
    <w:semiHidden/>
    <w:rsid w:val="00523EFA"/>
    <w:rPr>
      <w:rFonts w:ascii="Times New Roman" w:hAnsi="Times New Roman"/>
      <w:kern w:val="2"/>
      <w:sz w:val="21"/>
      <w:szCs w:val="22"/>
    </w:rPr>
  </w:style>
  <w:style w:type="paragraph" w:styleId="aff0">
    <w:name w:val="envelope address"/>
    <w:basedOn w:val="a1"/>
    <w:uiPriority w:val="99"/>
    <w:semiHidden/>
    <w:unhideWhenUsed/>
    <w:rsid w:val="00523EFA"/>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aff1">
    <w:name w:val="Bibliography"/>
    <w:basedOn w:val="a1"/>
    <w:next w:val="a1"/>
    <w:uiPriority w:val="37"/>
    <w:semiHidden/>
    <w:unhideWhenUsed/>
    <w:rsid w:val="00523EFA"/>
  </w:style>
  <w:style w:type="paragraph" w:styleId="11">
    <w:name w:val="index 1"/>
    <w:basedOn w:val="a1"/>
    <w:next w:val="a1"/>
    <w:autoRedefine/>
    <w:uiPriority w:val="99"/>
    <w:semiHidden/>
    <w:unhideWhenUsed/>
    <w:rsid w:val="00523EFA"/>
  </w:style>
  <w:style w:type="paragraph" w:styleId="25">
    <w:name w:val="index 2"/>
    <w:basedOn w:val="a1"/>
    <w:next w:val="a1"/>
    <w:autoRedefine/>
    <w:uiPriority w:val="99"/>
    <w:semiHidden/>
    <w:unhideWhenUsed/>
    <w:rsid w:val="00523EFA"/>
    <w:pPr>
      <w:ind w:leftChars="200" w:left="200"/>
    </w:pPr>
  </w:style>
  <w:style w:type="paragraph" w:styleId="35">
    <w:name w:val="index 3"/>
    <w:basedOn w:val="a1"/>
    <w:next w:val="a1"/>
    <w:autoRedefine/>
    <w:uiPriority w:val="99"/>
    <w:semiHidden/>
    <w:unhideWhenUsed/>
    <w:rsid w:val="00523EFA"/>
    <w:pPr>
      <w:ind w:leftChars="400" w:left="400"/>
    </w:pPr>
  </w:style>
  <w:style w:type="paragraph" w:styleId="45">
    <w:name w:val="index 4"/>
    <w:basedOn w:val="a1"/>
    <w:next w:val="a1"/>
    <w:autoRedefine/>
    <w:uiPriority w:val="99"/>
    <w:semiHidden/>
    <w:unhideWhenUsed/>
    <w:rsid w:val="00523EFA"/>
    <w:pPr>
      <w:ind w:leftChars="600" w:left="600"/>
    </w:pPr>
  </w:style>
  <w:style w:type="paragraph" w:styleId="55">
    <w:name w:val="index 5"/>
    <w:basedOn w:val="a1"/>
    <w:next w:val="a1"/>
    <w:autoRedefine/>
    <w:uiPriority w:val="99"/>
    <w:semiHidden/>
    <w:unhideWhenUsed/>
    <w:rsid w:val="00523EFA"/>
    <w:pPr>
      <w:ind w:leftChars="800" w:left="800"/>
    </w:pPr>
  </w:style>
  <w:style w:type="paragraph" w:styleId="61">
    <w:name w:val="index 6"/>
    <w:basedOn w:val="a1"/>
    <w:next w:val="a1"/>
    <w:autoRedefine/>
    <w:uiPriority w:val="99"/>
    <w:semiHidden/>
    <w:unhideWhenUsed/>
    <w:rsid w:val="00523EFA"/>
    <w:pPr>
      <w:ind w:leftChars="1000" w:left="1000"/>
    </w:pPr>
  </w:style>
  <w:style w:type="paragraph" w:styleId="71">
    <w:name w:val="index 7"/>
    <w:basedOn w:val="a1"/>
    <w:next w:val="a1"/>
    <w:autoRedefine/>
    <w:uiPriority w:val="99"/>
    <w:semiHidden/>
    <w:unhideWhenUsed/>
    <w:rsid w:val="00523EFA"/>
    <w:pPr>
      <w:ind w:leftChars="1200" w:left="1200"/>
    </w:pPr>
  </w:style>
  <w:style w:type="paragraph" w:styleId="81">
    <w:name w:val="index 8"/>
    <w:basedOn w:val="a1"/>
    <w:next w:val="a1"/>
    <w:autoRedefine/>
    <w:uiPriority w:val="99"/>
    <w:semiHidden/>
    <w:unhideWhenUsed/>
    <w:rsid w:val="00523EFA"/>
    <w:pPr>
      <w:ind w:leftChars="1400" w:left="1400"/>
    </w:pPr>
  </w:style>
  <w:style w:type="paragraph" w:styleId="91">
    <w:name w:val="index 9"/>
    <w:basedOn w:val="a1"/>
    <w:next w:val="a1"/>
    <w:autoRedefine/>
    <w:uiPriority w:val="99"/>
    <w:semiHidden/>
    <w:unhideWhenUsed/>
    <w:rsid w:val="00523EFA"/>
    <w:pPr>
      <w:ind w:leftChars="1600" w:left="1600"/>
    </w:pPr>
  </w:style>
  <w:style w:type="paragraph" w:styleId="aff2">
    <w:name w:val="index heading"/>
    <w:basedOn w:val="a1"/>
    <w:next w:val="11"/>
    <w:uiPriority w:val="99"/>
    <w:semiHidden/>
    <w:unhideWhenUsed/>
    <w:rsid w:val="00523EFA"/>
    <w:rPr>
      <w:rFonts w:asciiTheme="majorHAnsi" w:eastAsiaTheme="majorEastAsia" w:hAnsiTheme="majorHAnsi" w:cstheme="majorBidi"/>
      <w:b/>
      <w:bCs/>
    </w:rPr>
  </w:style>
  <w:style w:type="paragraph" w:styleId="aff3">
    <w:name w:val="table of figures"/>
    <w:basedOn w:val="a1"/>
    <w:next w:val="a1"/>
    <w:uiPriority w:val="99"/>
    <w:semiHidden/>
    <w:unhideWhenUsed/>
    <w:rsid w:val="00523EFA"/>
    <w:pPr>
      <w:ind w:leftChars="200" w:left="200" w:hangingChars="200" w:hanging="200"/>
    </w:pPr>
  </w:style>
  <w:style w:type="paragraph" w:styleId="aff4">
    <w:name w:val="endnote text"/>
    <w:basedOn w:val="a1"/>
    <w:link w:val="Charf0"/>
    <w:uiPriority w:val="99"/>
    <w:semiHidden/>
    <w:unhideWhenUsed/>
    <w:rsid w:val="00523EFA"/>
    <w:pPr>
      <w:snapToGrid w:val="0"/>
      <w:jc w:val="left"/>
    </w:pPr>
  </w:style>
  <w:style w:type="character" w:customStyle="1" w:styleId="Charf0">
    <w:name w:val="尾注文本 Char"/>
    <w:basedOn w:val="a2"/>
    <w:link w:val="aff4"/>
    <w:uiPriority w:val="99"/>
    <w:semiHidden/>
    <w:rsid w:val="00523EFA"/>
    <w:rPr>
      <w:rFonts w:ascii="Times New Roman" w:hAnsi="Times New Roman"/>
      <w:kern w:val="2"/>
      <w:sz w:val="21"/>
      <w:szCs w:val="22"/>
    </w:rPr>
  </w:style>
  <w:style w:type="paragraph" w:styleId="aff5">
    <w:name w:val="Block Text"/>
    <w:basedOn w:val="a1"/>
    <w:uiPriority w:val="99"/>
    <w:semiHidden/>
    <w:unhideWhenUsed/>
    <w:rsid w:val="00523EFA"/>
    <w:pPr>
      <w:spacing w:after="120"/>
      <w:ind w:leftChars="700" w:left="1440" w:rightChars="700" w:right="1440"/>
    </w:pPr>
  </w:style>
  <w:style w:type="paragraph" w:styleId="aff6">
    <w:name w:val="Document Map"/>
    <w:basedOn w:val="a1"/>
    <w:link w:val="Charf1"/>
    <w:uiPriority w:val="99"/>
    <w:semiHidden/>
    <w:unhideWhenUsed/>
    <w:rsid w:val="00523EFA"/>
    <w:rPr>
      <w:rFonts w:ascii="宋体"/>
      <w:sz w:val="18"/>
      <w:szCs w:val="18"/>
    </w:rPr>
  </w:style>
  <w:style w:type="character" w:customStyle="1" w:styleId="Charf1">
    <w:name w:val="文档结构图 Char"/>
    <w:basedOn w:val="a2"/>
    <w:link w:val="aff6"/>
    <w:uiPriority w:val="99"/>
    <w:semiHidden/>
    <w:rsid w:val="00523EFA"/>
    <w:rPr>
      <w:rFonts w:ascii="宋体" w:hAnsi="Times New Roman"/>
      <w:kern w:val="2"/>
      <w:sz w:val="18"/>
      <w:szCs w:val="18"/>
    </w:rPr>
  </w:style>
  <w:style w:type="paragraph" w:styleId="aff7">
    <w:name w:val="Message Header"/>
    <w:basedOn w:val="a1"/>
    <w:link w:val="Charf2"/>
    <w:uiPriority w:val="99"/>
    <w:semiHidden/>
    <w:unhideWhenUsed/>
    <w:rsid w:val="00523EFA"/>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Charf2">
    <w:name w:val="信息标题 Char"/>
    <w:basedOn w:val="a2"/>
    <w:link w:val="aff7"/>
    <w:uiPriority w:val="99"/>
    <w:semiHidden/>
    <w:rsid w:val="00523EFA"/>
    <w:rPr>
      <w:rFonts w:asciiTheme="majorHAnsi" w:eastAsiaTheme="majorEastAsia" w:hAnsiTheme="majorHAnsi" w:cstheme="majorBidi"/>
      <w:kern w:val="2"/>
      <w:sz w:val="24"/>
      <w:szCs w:val="24"/>
      <w:shd w:val="pct20" w:color="auto" w:fill="auto"/>
    </w:rPr>
  </w:style>
  <w:style w:type="paragraph" w:styleId="aff8">
    <w:name w:val="table of authorities"/>
    <w:basedOn w:val="a1"/>
    <w:next w:val="a1"/>
    <w:uiPriority w:val="99"/>
    <w:semiHidden/>
    <w:unhideWhenUsed/>
    <w:rsid w:val="00523EFA"/>
    <w:pPr>
      <w:ind w:leftChars="200" w:left="420"/>
    </w:pPr>
  </w:style>
  <w:style w:type="paragraph" w:styleId="aff9">
    <w:name w:val="toa heading"/>
    <w:basedOn w:val="a1"/>
    <w:next w:val="a1"/>
    <w:uiPriority w:val="99"/>
    <w:semiHidden/>
    <w:unhideWhenUsed/>
    <w:rsid w:val="00523EFA"/>
    <w:pPr>
      <w:spacing w:before="120"/>
    </w:pPr>
    <w:rPr>
      <w:rFonts w:asciiTheme="majorHAnsi" w:hAnsiTheme="majorHAnsi" w:cstheme="majorBidi"/>
      <w:sz w:val="24"/>
      <w:szCs w:val="24"/>
    </w:rPr>
  </w:style>
  <w:style w:type="paragraph" w:styleId="affa">
    <w:name w:val="Quote"/>
    <w:basedOn w:val="a1"/>
    <w:next w:val="a1"/>
    <w:link w:val="Charf3"/>
    <w:uiPriority w:val="29"/>
    <w:qFormat/>
    <w:rsid w:val="00523EFA"/>
    <w:rPr>
      <w:i/>
      <w:iCs/>
      <w:color w:val="000000" w:themeColor="text1"/>
    </w:rPr>
  </w:style>
  <w:style w:type="character" w:customStyle="1" w:styleId="Charf3">
    <w:name w:val="引用 Char"/>
    <w:basedOn w:val="a2"/>
    <w:link w:val="affa"/>
    <w:uiPriority w:val="29"/>
    <w:rsid w:val="00523EFA"/>
    <w:rPr>
      <w:rFonts w:ascii="Times New Roman" w:hAnsi="Times New Roman"/>
      <w:i/>
      <w:iCs/>
      <w:color w:val="000000" w:themeColor="text1"/>
      <w:kern w:val="2"/>
      <w:sz w:val="21"/>
      <w:szCs w:val="22"/>
    </w:rPr>
  </w:style>
  <w:style w:type="paragraph" w:styleId="affb">
    <w:name w:val="Body Text"/>
    <w:basedOn w:val="a1"/>
    <w:link w:val="Charf4"/>
    <w:uiPriority w:val="99"/>
    <w:semiHidden/>
    <w:unhideWhenUsed/>
    <w:rsid w:val="00523EFA"/>
    <w:pPr>
      <w:spacing w:after="120"/>
    </w:pPr>
  </w:style>
  <w:style w:type="character" w:customStyle="1" w:styleId="Charf4">
    <w:name w:val="正文文本 Char"/>
    <w:basedOn w:val="a2"/>
    <w:link w:val="affb"/>
    <w:uiPriority w:val="99"/>
    <w:semiHidden/>
    <w:rsid w:val="00523EFA"/>
    <w:rPr>
      <w:rFonts w:ascii="Times New Roman" w:hAnsi="Times New Roman"/>
      <w:kern w:val="2"/>
      <w:sz w:val="21"/>
      <w:szCs w:val="22"/>
    </w:rPr>
  </w:style>
  <w:style w:type="paragraph" w:styleId="affc">
    <w:name w:val="Body Text First Indent"/>
    <w:basedOn w:val="affb"/>
    <w:link w:val="Charf5"/>
    <w:uiPriority w:val="99"/>
    <w:semiHidden/>
    <w:unhideWhenUsed/>
    <w:rsid w:val="00523EFA"/>
    <w:pPr>
      <w:ind w:firstLineChars="100" w:firstLine="420"/>
    </w:pPr>
  </w:style>
  <w:style w:type="character" w:customStyle="1" w:styleId="Charf5">
    <w:name w:val="正文首行缩进 Char"/>
    <w:basedOn w:val="Charf4"/>
    <w:link w:val="affc"/>
    <w:uiPriority w:val="99"/>
    <w:semiHidden/>
    <w:rsid w:val="00523EFA"/>
    <w:rPr>
      <w:rFonts w:ascii="Times New Roman" w:hAnsi="Times New Roman"/>
      <w:kern w:val="2"/>
      <w:sz w:val="21"/>
      <w:szCs w:val="22"/>
    </w:rPr>
  </w:style>
  <w:style w:type="paragraph" w:styleId="affd">
    <w:name w:val="Body Text Indent"/>
    <w:basedOn w:val="a1"/>
    <w:link w:val="Charf6"/>
    <w:uiPriority w:val="99"/>
    <w:semiHidden/>
    <w:unhideWhenUsed/>
    <w:rsid w:val="00523EFA"/>
    <w:pPr>
      <w:spacing w:after="120"/>
      <w:ind w:leftChars="200" w:left="420"/>
    </w:pPr>
  </w:style>
  <w:style w:type="character" w:customStyle="1" w:styleId="Charf6">
    <w:name w:val="正文文本缩进 Char"/>
    <w:basedOn w:val="a2"/>
    <w:link w:val="affd"/>
    <w:uiPriority w:val="99"/>
    <w:semiHidden/>
    <w:rsid w:val="00523EFA"/>
    <w:rPr>
      <w:rFonts w:ascii="Times New Roman" w:hAnsi="Times New Roman"/>
      <w:kern w:val="2"/>
      <w:sz w:val="21"/>
      <w:szCs w:val="22"/>
    </w:rPr>
  </w:style>
  <w:style w:type="paragraph" w:styleId="26">
    <w:name w:val="Body Text First Indent 2"/>
    <w:basedOn w:val="affd"/>
    <w:link w:val="2Char0"/>
    <w:uiPriority w:val="99"/>
    <w:semiHidden/>
    <w:unhideWhenUsed/>
    <w:rsid w:val="00523EFA"/>
    <w:pPr>
      <w:ind w:firstLineChars="200" w:firstLine="420"/>
    </w:pPr>
  </w:style>
  <w:style w:type="character" w:customStyle="1" w:styleId="2Char0">
    <w:name w:val="正文首行缩进 2 Char"/>
    <w:basedOn w:val="Charf6"/>
    <w:link w:val="26"/>
    <w:uiPriority w:val="99"/>
    <w:semiHidden/>
    <w:rsid w:val="00523EFA"/>
    <w:rPr>
      <w:rFonts w:ascii="Times New Roman" w:hAnsi="Times New Roman"/>
      <w:kern w:val="2"/>
      <w:sz w:val="21"/>
      <w:szCs w:val="22"/>
    </w:rPr>
  </w:style>
  <w:style w:type="paragraph" w:styleId="affe">
    <w:name w:val="Normal Indent"/>
    <w:basedOn w:val="a1"/>
    <w:uiPriority w:val="99"/>
    <w:semiHidden/>
    <w:unhideWhenUsed/>
    <w:rsid w:val="00523EFA"/>
    <w:pPr>
      <w:ind w:firstLineChars="200" w:firstLine="420"/>
    </w:pPr>
  </w:style>
  <w:style w:type="paragraph" w:styleId="27">
    <w:name w:val="Body Text 2"/>
    <w:basedOn w:val="a1"/>
    <w:link w:val="2Char1"/>
    <w:uiPriority w:val="99"/>
    <w:semiHidden/>
    <w:unhideWhenUsed/>
    <w:rsid w:val="00523EFA"/>
    <w:pPr>
      <w:spacing w:after="120" w:line="480" w:lineRule="auto"/>
    </w:pPr>
  </w:style>
  <w:style w:type="character" w:customStyle="1" w:styleId="2Char1">
    <w:name w:val="正文文本 2 Char"/>
    <w:basedOn w:val="a2"/>
    <w:link w:val="27"/>
    <w:uiPriority w:val="99"/>
    <w:semiHidden/>
    <w:rsid w:val="00523EFA"/>
    <w:rPr>
      <w:rFonts w:ascii="Times New Roman" w:hAnsi="Times New Roman"/>
      <w:kern w:val="2"/>
      <w:sz w:val="21"/>
      <w:szCs w:val="22"/>
    </w:rPr>
  </w:style>
  <w:style w:type="paragraph" w:styleId="36">
    <w:name w:val="Body Text 3"/>
    <w:basedOn w:val="a1"/>
    <w:link w:val="3Char0"/>
    <w:uiPriority w:val="99"/>
    <w:semiHidden/>
    <w:unhideWhenUsed/>
    <w:rsid w:val="00523EFA"/>
    <w:pPr>
      <w:spacing w:after="120"/>
    </w:pPr>
    <w:rPr>
      <w:sz w:val="16"/>
      <w:szCs w:val="16"/>
    </w:rPr>
  </w:style>
  <w:style w:type="character" w:customStyle="1" w:styleId="3Char0">
    <w:name w:val="正文文本 3 Char"/>
    <w:basedOn w:val="a2"/>
    <w:link w:val="36"/>
    <w:uiPriority w:val="99"/>
    <w:semiHidden/>
    <w:rsid w:val="00523EFA"/>
    <w:rPr>
      <w:rFonts w:ascii="Times New Roman" w:hAnsi="Times New Roman"/>
      <w:kern w:val="2"/>
      <w:sz w:val="16"/>
      <w:szCs w:val="16"/>
    </w:rPr>
  </w:style>
  <w:style w:type="paragraph" w:styleId="28">
    <w:name w:val="Body Text Indent 2"/>
    <w:basedOn w:val="a1"/>
    <w:link w:val="2Char2"/>
    <w:uiPriority w:val="99"/>
    <w:semiHidden/>
    <w:unhideWhenUsed/>
    <w:rsid w:val="00523EFA"/>
    <w:pPr>
      <w:spacing w:after="120" w:line="480" w:lineRule="auto"/>
      <w:ind w:leftChars="200" w:left="420"/>
    </w:pPr>
  </w:style>
  <w:style w:type="character" w:customStyle="1" w:styleId="2Char2">
    <w:name w:val="正文文本缩进 2 Char"/>
    <w:basedOn w:val="a2"/>
    <w:link w:val="28"/>
    <w:uiPriority w:val="99"/>
    <w:semiHidden/>
    <w:rsid w:val="00523EFA"/>
    <w:rPr>
      <w:rFonts w:ascii="Times New Roman" w:hAnsi="Times New Roman"/>
      <w:kern w:val="2"/>
      <w:sz w:val="21"/>
      <w:szCs w:val="22"/>
    </w:rPr>
  </w:style>
  <w:style w:type="paragraph" w:styleId="37">
    <w:name w:val="Body Text Indent 3"/>
    <w:basedOn w:val="a1"/>
    <w:link w:val="3Char1"/>
    <w:uiPriority w:val="99"/>
    <w:semiHidden/>
    <w:unhideWhenUsed/>
    <w:rsid w:val="00523EFA"/>
    <w:pPr>
      <w:spacing w:after="120"/>
      <w:ind w:leftChars="200" w:left="420"/>
    </w:pPr>
    <w:rPr>
      <w:sz w:val="16"/>
      <w:szCs w:val="16"/>
    </w:rPr>
  </w:style>
  <w:style w:type="character" w:customStyle="1" w:styleId="3Char1">
    <w:name w:val="正文文本缩进 3 Char"/>
    <w:basedOn w:val="a2"/>
    <w:link w:val="37"/>
    <w:uiPriority w:val="99"/>
    <w:semiHidden/>
    <w:rsid w:val="00523EFA"/>
    <w:rPr>
      <w:rFonts w:ascii="Times New Roman" w:hAnsi="Times New Roman"/>
      <w:kern w:val="2"/>
      <w:sz w:val="16"/>
      <w:szCs w:val="16"/>
    </w:rPr>
  </w:style>
  <w:style w:type="paragraph" w:styleId="afff">
    <w:name w:val="Note Heading"/>
    <w:basedOn w:val="a1"/>
    <w:next w:val="a1"/>
    <w:link w:val="Charf7"/>
    <w:uiPriority w:val="99"/>
    <w:semiHidden/>
    <w:unhideWhenUsed/>
    <w:rsid w:val="00523EFA"/>
    <w:pPr>
      <w:jc w:val="center"/>
    </w:pPr>
  </w:style>
  <w:style w:type="character" w:customStyle="1" w:styleId="Charf7">
    <w:name w:val="注释标题 Char"/>
    <w:basedOn w:val="a2"/>
    <w:link w:val="afff"/>
    <w:uiPriority w:val="99"/>
    <w:semiHidden/>
    <w:rsid w:val="00523EFA"/>
    <w:rPr>
      <w:rFonts w:ascii="Times New Roman" w:hAnsi="Times New Roman"/>
      <w:kern w:val="2"/>
      <w:sz w:val="21"/>
      <w:szCs w:val="22"/>
    </w:rPr>
  </w:style>
  <w:style w:type="numbering" w:customStyle="1" w:styleId="12">
    <w:name w:val="无列表1"/>
    <w:next w:val="a4"/>
    <w:uiPriority w:val="99"/>
    <w:semiHidden/>
    <w:unhideWhenUsed/>
    <w:rsid w:val="00523EFA"/>
  </w:style>
  <w:style w:type="table" w:customStyle="1" w:styleId="13">
    <w:name w:val="网格型1"/>
    <w:basedOn w:val="a3"/>
    <w:next w:val="a8"/>
    <w:uiPriority w:val="59"/>
    <w:rsid w:val="00523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网格型2"/>
    <w:basedOn w:val="a3"/>
    <w:next w:val="a8"/>
    <w:uiPriority w:val="59"/>
    <w:rsid w:val="000A0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05">
    <w:name w:val="normal105"/>
    <w:basedOn w:val="a2"/>
    <w:rsid w:val="003B0E4B"/>
  </w:style>
  <w:style w:type="character" w:styleId="afff0">
    <w:name w:val="Strong"/>
    <w:basedOn w:val="a2"/>
    <w:uiPriority w:val="22"/>
    <w:qFormat/>
    <w:rsid w:val="009937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12AD6"/>
    <w:pPr>
      <w:widowControl w:val="0"/>
      <w:jc w:val="both"/>
    </w:pPr>
    <w:rPr>
      <w:rFonts w:ascii="Times New Roman" w:hAnsi="Times New Roman"/>
      <w:kern w:val="2"/>
      <w:sz w:val="21"/>
      <w:szCs w:val="22"/>
    </w:rPr>
  </w:style>
  <w:style w:type="paragraph" w:styleId="1">
    <w:name w:val="heading 1"/>
    <w:basedOn w:val="a1"/>
    <w:next w:val="a1"/>
    <w:link w:val="1Char"/>
    <w:uiPriority w:val="9"/>
    <w:qFormat/>
    <w:rsid w:val="002A10F3"/>
    <w:pPr>
      <w:keepNext/>
      <w:keepLines/>
      <w:spacing w:before="340" w:after="330" w:line="578" w:lineRule="auto"/>
      <w:outlineLvl w:val="0"/>
    </w:pPr>
    <w:rPr>
      <w:b/>
      <w:bCs/>
      <w:kern w:val="44"/>
      <w:sz w:val="44"/>
      <w:szCs w:val="44"/>
    </w:rPr>
  </w:style>
  <w:style w:type="paragraph" w:styleId="21">
    <w:name w:val="heading 2"/>
    <w:basedOn w:val="a1"/>
    <w:next w:val="a1"/>
    <w:link w:val="2Char"/>
    <w:uiPriority w:val="9"/>
    <w:semiHidden/>
    <w:unhideWhenUsed/>
    <w:qFormat/>
    <w:rsid w:val="00523EF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1">
    <w:name w:val="heading 3"/>
    <w:basedOn w:val="a1"/>
    <w:next w:val="a1"/>
    <w:link w:val="3Char"/>
    <w:uiPriority w:val="9"/>
    <w:semiHidden/>
    <w:unhideWhenUsed/>
    <w:qFormat/>
    <w:rsid w:val="00523EFA"/>
    <w:pPr>
      <w:keepNext/>
      <w:keepLines/>
      <w:spacing w:before="260" w:after="260" w:line="416" w:lineRule="auto"/>
      <w:outlineLvl w:val="2"/>
    </w:pPr>
    <w:rPr>
      <w:b/>
      <w:bCs/>
      <w:sz w:val="32"/>
      <w:szCs w:val="32"/>
    </w:rPr>
  </w:style>
  <w:style w:type="paragraph" w:styleId="41">
    <w:name w:val="heading 4"/>
    <w:basedOn w:val="a1"/>
    <w:next w:val="a1"/>
    <w:link w:val="4Char"/>
    <w:uiPriority w:val="9"/>
    <w:semiHidden/>
    <w:unhideWhenUsed/>
    <w:qFormat/>
    <w:rsid w:val="00523EF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1">
    <w:name w:val="heading 5"/>
    <w:basedOn w:val="a1"/>
    <w:next w:val="a1"/>
    <w:link w:val="5Char"/>
    <w:uiPriority w:val="9"/>
    <w:semiHidden/>
    <w:unhideWhenUsed/>
    <w:qFormat/>
    <w:rsid w:val="00523EFA"/>
    <w:pPr>
      <w:keepNext/>
      <w:keepLines/>
      <w:spacing w:before="280" w:after="290" w:line="376" w:lineRule="auto"/>
      <w:outlineLvl w:val="4"/>
    </w:pPr>
    <w:rPr>
      <w:b/>
      <w:bCs/>
      <w:sz w:val="28"/>
      <w:szCs w:val="28"/>
    </w:rPr>
  </w:style>
  <w:style w:type="paragraph" w:styleId="6">
    <w:name w:val="heading 6"/>
    <w:basedOn w:val="a1"/>
    <w:next w:val="a1"/>
    <w:link w:val="6Char"/>
    <w:uiPriority w:val="9"/>
    <w:semiHidden/>
    <w:unhideWhenUsed/>
    <w:qFormat/>
    <w:rsid w:val="00523EFA"/>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1"/>
    <w:next w:val="a1"/>
    <w:link w:val="7Char"/>
    <w:uiPriority w:val="9"/>
    <w:semiHidden/>
    <w:unhideWhenUsed/>
    <w:qFormat/>
    <w:rsid w:val="00523EFA"/>
    <w:pPr>
      <w:keepNext/>
      <w:keepLines/>
      <w:spacing w:before="240" w:after="64" w:line="320" w:lineRule="auto"/>
      <w:outlineLvl w:val="6"/>
    </w:pPr>
    <w:rPr>
      <w:b/>
      <w:bCs/>
      <w:sz w:val="24"/>
      <w:szCs w:val="24"/>
    </w:rPr>
  </w:style>
  <w:style w:type="paragraph" w:styleId="8">
    <w:name w:val="heading 8"/>
    <w:basedOn w:val="a1"/>
    <w:next w:val="a1"/>
    <w:link w:val="8Char"/>
    <w:uiPriority w:val="9"/>
    <w:semiHidden/>
    <w:unhideWhenUsed/>
    <w:qFormat/>
    <w:rsid w:val="00523EFA"/>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1"/>
    <w:next w:val="a1"/>
    <w:link w:val="9Char"/>
    <w:uiPriority w:val="9"/>
    <w:semiHidden/>
    <w:unhideWhenUsed/>
    <w:qFormat/>
    <w:rsid w:val="00523EFA"/>
    <w:pPr>
      <w:keepNext/>
      <w:keepLines/>
      <w:spacing w:before="240" w:after="64" w:line="320" w:lineRule="auto"/>
      <w:outlineLvl w:val="8"/>
    </w:pPr>
    <w:rPr>
      <w:rFonts w:asciiTheme="majorHAnsi" w:eastAsiaTheme="majorEastAsia" w:hAnsiTheme="majorHAnsi" w:cstheme="majorBidi"/>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C12AD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uiPriority w:val="99"/>
    <w:rsid w:val="00C12AD6"/>
    <w:rPr>
      <w:rFonts w:ascii="Times New Roman" w:hAnsi="Times New Roman"/>
      <w:sz w:val="18"/>
      <w:szCs w:val="18"/>
    </w:rPr>
  </w:style>
  <w:style w:type="paragraph" w:styleId="a6">
    <w:name w:val="footer"/>
    <w:basedOn w:val="a1"/>
    <w:link w:val="Char0"/>
    <w:uiPriority w:val="99"/>
    <w:unhideWhenUsed/>
    <w:rsid w:val="00C12AD6"/>
    <w:pPr>
      <w:tabs>
        <w:tab w:val="center" w:pos="4153"/>
        <w:tab w:val="right" w:pos="8306"/>
      </w:tabs>
      <w:snapToGrid w:val="0"/>
      <w:jc w:val="left"/>
    </w:pPr>
    <w:rPr>
      <w:sz w:val="18"/>
      <w:szCs w:val="18"/>
    </w:rPr>
  </w:style>
  <w:style w:type="character" w:customStyle="1" w:styleId="Char0">
    <w:name w:val="页脚 Char"/>
    <w:link w:val="a6"/>
    <w:uiPriority w:val="99"/>
    <w:rsid w:val="00C12AD6"/>
    <w:rPr>
      <w:rFonts w:ascii="Times New Roman" w:hAnsi="Times New Roman"/>
      <w:sz w:val="18"/>
      <w:szCs w:val="18"/>
    </w:rPr>
  </w:style>
  <w:style w:type="paragraph" w:styleId="a7">
    <w:name w:val="No Spacing"/>
    <w:link w:val="Char1"/>
    <w:uiPriority w:val="1"/>
    <w:qFormat/>
    <w:rsid w:val="00F44C59"/>
    <w:rPr>
      <w:rFonts w:asciiTheme="minorHAnsi" w:eastAsiaTheme="minorEastAsia" w:hAnsiTheme="minorHAnsi" w:cstheme="minorBidi"/>
      <w:sz w:val="22"/>
      <w:szCs w:val="22"/>
    </w:rPr>
  </w:style>
  <w:style w:type="character" w:customStyle="1" w:styleId="Char1">
    <w:name w:val="无间隔 Char"/>
    <w:basedOn w:val="a2"/>
    <w:link w:val="a7"/>
    <w:uiPriority w:val="1"/>
    <w:rsid w:val="00F44C59"/>
    <w:rPr>
      <w:rFonts w:asciiTheme="minorHAnsi" w:eastAsiaTheme="minorEastAsia" w:hAnsiTheme="minorHAnsi" w:cstheme="minorBidi"/>
      <w:sz w:val="22"/>
      <w:szCs w:val="22"/>
    </w:rPr>
  </w:style>
  <w:style w:type="table" w:styleId="a8">
    <w:name w:val="Table Grid"/>
    <w:basedOn w:val="a3"/>
    <w:uiPriority w:val="59"/>
    <w:rsid w:val="00912C01"/>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yle1">
    <w:name w:val="Style1"/>
    <w:basedOn w:val="a2"/>
    <w:uiPriority w:val="1"/>
    <w:rsid w:val="00912C01"/>
    <w:rPr>
      <w:rFonts w:asciiTheme="minorHAnsi" w:eastAsiaTheme="minorEastAsia" w:hAnsi="宋体" w:cstheme="minorBidi"/>
      <w:bCs w:val="0"/>
      <w:iCs w:val="0"/>
      <w:sz w:val="22"/>
      <w:szCs w:val="22"/>
      <w:lang w:eastAsia="zh-CN"/>
    </w:rPr>
  </w:style>
  <w:style w:type="character" w:customStyle="1" w:styleId="Style2">
    <w:name w:val="Style2"/>
    <w:basedOn w:val="a2"/>
    <w:uiPriority w:val="1"/>
    <w:rsid w:val="00912C01"/>
    <w:rPr>
      <w:rFonts w:asciiTheme="minorHAnsi" w:eastAsiaTheme="minorEastAsia" w:hAnsi="宋体" w:cstheme="minorBidi"/>
      <w:bCs w:val="0"/>
      <w:iCs w:val="0"/>
      <w:sz w:val="22"/>
      <w:szCs w:val="22"/>
      <w:lang w:eastAsia="zh-CN"/>
    </w:rPr>
  </w:style>
  <w:style w:type="character" w:customStyle="1" w:styleId="Style3">
    <w:name w:val="Style3"/>
    <w:basedOn w:val="a2"/>
    <w:uiPriority w:val="1"/>
    <w:rsid w:val="00912C01"/>
    <w:rPr>
      <w:rFonts w:asciiTheme="minorHAnsi" w:eastAsiaTheme="minorEastAsia" w:hAnsi="宋体" w:cstheme="minorBidi"/>
      <w:bCs w:val="0"/>
      <w:iCs w:val="0"/>
      <w:sz w:val="22"/>
      <w:szCs w:val="22"/>
      <w:lang w:eastAsia="zh-CN"/>
    </w:rPr>
  </w:style>
  <w:style w:type="character" w:customStyle="1" w:styleId="1Char">
    <w:name w:val="标题 1 Char"/>
    <w:basedOn w:val="a2"/>
    <w:link w:val="1"/>
    <w:uiPriority w:val="9"/>
    <w:qFormat/>
    <w:rsid w:val="002A10F3"/>
    <w:rPr>
      <w:rFonts w:ascii="Times New Roman" w:hAnsi="Times New Roman"/>
      <w:b/>
      <w:bCs/>
      <w:kern w:val="44"/>
      <w:sz w:val="44"/>
      <w:szCs w:val="44"/>
    </w:rPr>
  </w:style>
  <w:style w:type="character" w:styleId="a9">
    <w:name w:val="Hyperlink"/>
    <w:basedOn w:val="a2"/>
    <w:uiPriority w:val="99"/>
    <w:unhideWhenUsed/>
    <w:rsid w:val="00D45E47"/>
    <w:rPr>
      <w:color w:val="0000FF" w:themeColor="hyperlink"/>
      <w:u w:val="single"/>
    </w:rPr>
  </w:style>
  <w:style w:type="paragraph" w:styleId="10">
    <w:name w:val="toc 1"/>
    <w:basedOn w:val="a1"/>
    <w:next w:val="a1"/>
    <w:autoRedefine/>
    <w:uiPriority w:val="39"/>
    <w:unhideWhenUsed/>
    <w:rsid w:val="00F55697"/>
    <w:pPr>
      <w:tabs>
        <w:tab w:val="right" w:leader="dot" w:pos="8834"/>
      </w:tabs>
      <w:spacing w:line="360" w:lineRule="exact"/>
      <w:jc w:val="center"/>
    </w:pPr>
    <w:rPr>
      <w:rFonts w:ascii="黑体" w:eastAsia="黑体" w:hAnsi="黑体"/>
    </w:rPr>
  </w:style>
  <w:style w:type="character" w:styleId="aa">
    <w:name w:val="Placeholder Text"/>
    <w:basedOn w:val="a2"/>
    <w:uiPriority w:val="99"/>
    <w:semiHidden/>
    <w:rsid w:val="002E3197"/>
    <w:rPr>
      <w:color w:val="808080"/>
    </w:rPr>
  </w:style>
  <w:style w:type="paragraph" w:styleId="ab">
    <w:name w:val="Balloon Text"/>
    <w:basedOn w:val="a1"/>
    <w:link w:val="Char2"/>
    <w:uiPriority w:val="99"/>
    <w:semiHidden/>
    <w:unhideWhenUsed/>
    <w:rsid w:val="00AE3139"/>
    <w:rPr>
      <w:sz w:val="18"/>
      <w:szCs w:val="18"/>
    </w:rPr>
  </w:style>
  <w:style w:type="character" w:customStyle="1" w:styleId="Char2">
    <w:name w:val="批注框文本 Char"/>
    <w:basedOn w:val="a2"/>
    <w:link w:val="ab"/>
    <w:uiPriority w:val="99"/>
    <w:semiHidden/>
    <w:rsid w:val="00AE3139"/>
    <w:rPr>
      <w:rFonts w:ascii="Times New Roman" w:hAnsi="Times New Roman"/>
      <w:kern w:val="2"/>
      <w:sz w:val="18"/>
      <w:szCs w:val="18"/>
    </w:rPr>
  </w:style>
  <w:style w:type="paragraph" w:styleId="ac">
    <w:name w:val="caption"/>
    <w:basedOn w:val="a1"/>
    <w:next w:val="a1"/>
    <w:uiPriority w:val="35"/>
    <w:unhideWhenUsed/>
    <w:qFormat/>
    <w:rsid w:val="00A242D4"/>
    <w:rPr>
      <w:rFonts w:asciiTheme="majorHAnsi" w:eastAsia="黑体" w:hAnsiTheme="majorHAnsi" w:cstheme="majorBidi"/>
      <w:sz w:val="20"/>
      <w:szCs w:val="20"/>
    </w:rPr>
  </w:style>
  <w:style w:type="character" w:styleId="ad">
    <w:name w:val="annotation reference"/>
    <w:basedOn w:val="a2"/>
    <w:uiPriority w:val="99"/>
    <w:semiHidden/>
    <w:unhideWhenUsed/>
    <w:rsid w:val="004A3935"/>
    <w:rPr>
      <w:sz w:val="21"/>
      <w:szCs w:val="21"/>
    </w:rPr>
  </w:style>
  <w:style w:type="paragraph" w:styleId="ae">
    <w:name w:val="annotation text"/>
    <w:basedOn w:val="a1"/>
    <w:link w:val="Char3"/>
    <w:uiPriority w:val="99"/>
    <w:semiHidden/>
    <w:unhideWhenUsed/>
    <w:rsid w:val="004A3935"/>
    <w:pPr>
      <w:jc w:val="left"/>
    </w:pPr>
  </w:style>
  <w:style w:type="character" w:customStyle="1" w:styleId="Char3">
    <w:name w:val="批注文字 Char"/>
    <w:basedOn w:val="a2"/>
    <w:link w:val="ae"/>
    <w:uiPriority w:val="99"/>
    <w:semiHidden/>
    <w:rsid w:val="004A3935"/>
    <w:rPr>
      <w:rFonts w:ascii="Times New Roman" w:hAnsi="Times New Roman"/>
      <w:kern w:val="2"/>
      <w:sz w:val="21"/>
      <w:szCs w:val="22"/>
    </w:rPr>
  </w:style>
  <w:style w:type="paragraph" w:styleId="af">
    <w:name w:val="annotation subject"/>
    <w:basedOn w:val="ae"/>
    <w:next w:val="ae"/>
    <w:link w:val="Char4"/>
    <w:uiPriority w:val="99"/>
    <w:semiHidden/>
    <w:unhideWhenUsed/>
    <w:rsid w:val="004A3935"/>
    <w:rPr>
      <w:b/>
      <w:bCs/>
    </w:rPr>
  </w:style>
  <w:style w:type="character" w:customStyle="1" w:styleId="Char4">
    <w:name w:val="批注主题 Char"/>
    <w:basedOn w:val="Char3"/>
    <w:link w:val="af"/>
    <w:uiPriority w:val="99"/>
    <w:semiHidden/>
    <w:rsid w:val="004A3935"/>
    <w:rPr>
      <w:rFonts w:ascii="Times New Roman" w:hAnsi="Times New Roman"/>
      <w:b/>
      <w:bCs/>
      <w:kern w:val="2"/>
      <w:sz w:val="21"/>
      <w:szCs w:val="22"/>
    </w:rPr>
  </w:style>
  <w:style w:type="character" w:customStyle="1" w:styleId="2Char">
    <w:name w:val="标题 2 Char"/>
    <w:basedOn w:val="a2"/>
    <w:link w:val="21"/>
    <w:uiPriority w:val="9"/>
    <w:semiHidden/>
    <w:rsid w:val="00523EFA"/>
    <w:rPr>
      <w:rFonts w:asciiTheme="majorHAnsi" w:eastAsiaTheme="majorEastAsia" w:hAnsiTheme="majorHAnsi" w:cstheme="majorBidi"/>
      <w:b/>
      <w:bCs/>
      <w:kern w:val="2"/>
      <w:sz w:val="32"/>
      <w:szCs w:val="32"/>
    </w:rPr>
  </w:style>
  <w:style w:type="character" w:customStyle="1" w:styleId="3Char">
    <w:name w:val="标题 3 Char"/>
    <w:basedOn w:val="a2"/>
    <w:link w:val="31"/>
    <w:uiPriority w:val="9"/>
    <w:semiHidden/>
    <w:rsid w:val="00523EFA"/>
    <w:rPr>
      <w:rFonts w:ascii="Times New Roman" w:hAnsi="Times New Roman"/>
      <w:b/>
      <w:bCs/>
      <w:kern w:val="2"/>
      <w:sz w:val="32"/>
      <w:szCs w:val="32"/>
    </w:rPr>
  </w:style>
  <w:style w:type="character" w:customStyle="1" w:styleId="4Char">
    <w:name w:val="标题 4 Char"/>
    <w:basedOn w:val="a2"/>
    <w:link w:val="41"/>
    <w:uiPriority w:val="9"/>
    <w:semiHidden/>
    <w:rsid w:val="00523EFA"/>
    <w:rPr>
      <w:rFonts w:asciiTheme="majorHAnsi" w:eastAsiaTheme="majorEastAsia" w:hAnsiTheme="majorHAnsi" w:cstheme="majorBidi"/>
      <w:b/>
      <w:bCs/>
      <w:kern w:val="2"/>
      <w:sz w:val="28"/>
      <w:szCs w:val="28"/>
    </w:rPr>
  </w:style>
  <w:style w:type="character" w:customStyle="1" w:styleId="5Char">
    <w:name w:val="标题 5 Char"/>
    <w:basedOn w:val="a2"/>
    <w:link w:val="51"/>
    <w:uiPriority w:val="9"/>
    <w:semiHidden/>
    <w:rsid w:val="00523EFA"/>
    <w:rPr>
      <w:rFonts w:ascii="Times New Roman" w:hAnsi="Times New Roman"/>
      <w:b/>
      <w:bCs/>
      <w:kern w:val="2"/>
      <w:sz w:val="28"/>
      <w:szCs w:val="28"/>
    </w:rPr>
  </w:style>
  <w:style w:type="character" w:customStyle="1" w:styleId="6Char">
    <w:name w:val="标题 6 Char"/>
    <w:basedOn w:val="a2"/>
    <w:link w:val="6"/>
    <w:uiPriority w:val="9"/>
    <w:semiHidden/>
    <w:rsid w:val="00523EFA"/>
    <w:rPr>
      <w:rFonts w:asciiTheme="majorHAnsi" w:eastAsiaTheme="majorEastAsia" w:hAnsiTheme="majorHAnsi" w:cstheme="majorBidi"/>
      <w:b/>
      <w:bCs/>
      <w:kern w:val="2"/>
      <w:sz w:val="24"/>
      <w:szCs w:val="24"/>
    </w:rPr>
  </w:style>
  <w:style w:type="character" w:customStyle="1" w:styleId="7Char">
    <w:name w:val="标题 7 Char"/>
    <w:basedOn w:val="a2"/>
    <w:link w:val="7"/>
    <w:uiPriority w:val="9"/>
    <w:semiHidden/>
    <w:rsid w:val="00523EFA"/>
    <w:rPr>
      <w:rFonts w:ascii="Times New Roman" w:hAnsi="Times New Roman"/>
      <w:b/>
      <w:bCs/>
      <w:kern w:val="2"/>
      <w:sz w:val="24"/>
      <w:szCs w:val="24"/>
    </w:rPr>
  </w:style>
  <w:style w:type="character" w:customStyle="1" w:styleId="8Char">
    <w:name w:val="标题 8 Char"/>
    <w:basedOn w:val="a2"/>
    <w:link w:val="8"/>
    <w:uiPriority w:val="9"/>
    <w:semiHidden/>
    <w:rsid w:val="00523EFA"/>
    <w:rPr>
      <w:rFonts w:asciiTheme="majorHAnsi" w:eastAsiaTheme="majorEastAsia" w:hAnsiTheme="majorHAnsi" w:cstheme="majorBidi"/>
      <w:kern w:val="2"/>
      <w:sz w:val="24"/>
      <w:szCs w:val="24"/>
    </w:rPr>
  </w:style>
  <w:style w:type="character" w:customStyle="1" w:styleId="9Char">
    <w:name w:val="标题 9 Char"/>
    <w:basedOn w:val="a2"/>
    <w:link w:val="9"/>
    <w:uiPriority w:val="9"/>
    <w:semiHidden/>
    <w:rsid w:val="00523EFA"/>
    <w:rPr>
      <w:rFonts w:asciiTheme="majorHAnsi" w:eastAsiaTheme="majorEastAsia" w:hAnsiTheme="majorHAnsi" w:cstheme="majorBidi"/>
      <w:kern w:val="2"/>
      <w:sz w:val="21"/>
      <w:szCs w:val="21"/>
    </w:rPr>
  </w:style>
  <w:style w:type="paragraph" w:styleId="af0">
    <w:name w:val="Title"/>
    <w:basedOn w:val="a1"/>
    <w:next w:val="a1"/>
    <w:link w:val="Char5"/>
    <w:uiPriority w:val="10"/>
    <w:qFormat/>
    <w:rsid w:val="00523EFA"/>
    <w:pPr>
      <w:spacing w:before="240" w:after="60"/>
      <w:jc w:val="center"/>
      <w:outlineLvl w:val="0"/>
    </w:pPr>
    <w:rPr>
      <w:rFonts w:asciiTheme="majorHAnsi" w:hAnsiTheme="majorHAnsi" w:cstheme="majorBidi"/>
      <w:b/>
      <w:bCs/>
      <w:sz w:val="32"/>
      <w:szCs w:val="32"/>
    </w:rPr>
  </w:style>
  <w:style w:type="character" w:customStyle="1" w:styleId="Char5">
    <w:name w:val="标题 Char"/>
    <w:basedOn w:val="a2"/>
    <w:link w:val="af0"/>
    <w:uiPriority w:val="10"/>
    <w:rsid w:val="00523EFA"/>
    <w:rPr>
      <w:rFonts w:asciiTheme="majorHAnsi" w:hAnsiTheme="majorHAnsi" w:cstheme="majorBidi"/>
      <w:b/>
      <w:bCs/>
      <w:kern w:val="2"/>
      <w:sz w:val="32"/>
      <w:szCs w:val="32"/>
    </w:rPr>
  </w:style>
  <w:style w:type="paragraph" w:styleId="af1">
    <w:name w:val="List Paragraph"/>
    <w:basedOn w:val="a1"/>
    <w:uiPriority w:val="34"/>
    <w:qFormat/>
    <w:rsid w:val="00523EFA"/>
    <w:pPr>
      <w:ind w:firstLineChars="200" w:firstLine="420"/>
    </w:pPr>
  </w:style>
  <w:style w:type="paragraph" w:styleId="HTML">
    <w:name w:val="HTML Address"/>
    <w:basedOn w:val="a1"/>
    <w:link w:val="HTMLChar"/>
    <w:uiPriority w:val="99"/>
    <w:semiHidden/>
    <w:unhideWhenUsed/>
    <w:rsid w:val="00523EFA"/>
    <w:rPr>
      <w:i/>
      <w:iCs/>
    </w:rPr>
  </w:style>
  <w:style w:type="character" w:customStyle="1" w:styleId="HTMLChar">
    <w:name w:val="HTML 地址 Char"/>
    <w:basedOn w:val="a2"/>
    <w:link w:val="HTML"/>
    <w:uiPriority w:val="99"/>
    <w:semiHidden/>
    <w:rsid w:val="00523EFA"/>
    <w:rPr>
      <w:rFonts w:ascii="Times New Roman" w:hAnsi="Times New Roman"/>
      <w:i/>
      <w:iCs/>
      <w:kern w:val="2"/>
      <w:sz w:val="21"/>
      <w:szCs w:val="22"/>
    </w:rPr>
  </w:style>
  <w:style w:type="paragraph" w:styleId="HTML0">
    <w:name w:val="HTML Preformatted"/>
    <w:basedOn w:val="a1"/>
    <w:link w:val="HTMLChar0"/>
    <w:uiPriority w:val="99"/>
    <w:semiHidden/>
    <w:unhideWhenUsed/>
    <w:rsid w:val="00523EFA"/>
    <w:rPr>
      <w:rFonts w:ascii="Courier New" w:hAnsi="Courier New" w:cs="Courier New"/>
      <w:sz w:val="20"/>
      <w:szCs w:val="20"/>
    </w:rPr>
  </w:style>
  <w:style w:type="character" w:customStyle="1" w:styleId="HTMLChar0">
    <w:name w:val="HTML 预设格式 Char"/>
    <w:basedOn w:val="a2"/>
    <w:link w:val="HTML0"/>
    <w:uiPriority w:val="99"/>
    <w:semiHidden/>
    <w:rsid w:val="00523EFA"/>
    <w:rPr>
      <w:rFonts w:ascii="Courier New" w:hAnsi="Courier New" w:cs="Courier New"/>
      <w:kern w:val="2"/>
    </w:rPr>
  </w:style>
  <w:style w:type="paragraph" w:styleId="TOC">
    <w:name w:val="TOC Heading"/>
    <w:basedOn w:val="1"/>
    <w:next w:val="a1"/>
    <w:uiPriority w:val="39"/>
    <w:semiHidden/>
    <w:unhideWhenUsed/>
    <w:qFormat/>
    <w:rsid w:val="00523EFA"/>
    <w:pPr>
      <w:outlineLvl w:val="9"/>
    </w:pPr>
  </w:style>
  <w:style w:type="paragraph" w:styleId="af2">
    <w:name w:val="Salutation"/>
    <w:basedOn w:val="a1"/>
    <w:next w:val="a1"/>
    <w:link w:val="Char6"/>
    <w:uiPriority w:val="99"/>
    <w:semiHidden/>
    <w:unhideWhenUsed/>
    <w:rsid w:val="00523EFA"/>
  </w:style>
  <w:style w:type="character" w:customStyle="1" w:styleId="Char6">
    <w:name w:val="称呼 Char"/>
    <w:basedOn w:val="a2"/>
    <w:link w:val="af2"/>
    <w:uiPriority w:val="99"/>
    <w:semiHidden/>
    <w:rsid w:val="00523EFA"/>
    <w:rPr>
      <w:rFonts w:ascii="Times New Roman" w:hAnsi="Times New Roman"/>
      <w:kern w:val="2"/>
      <w:sz w:val="21"/>
      <w:szCs w:val="22"/>
    </w:rPr>
  </w:style>
  <w:style w:type="paragraph" w:styleId="af3">
    <w:name w:val="Plain Text"/>
    <w:basedOn w:val="a1"/>
    <w:link w:val="Char7"/>
    <w:uiPriority w:val="99"/>
    <w:semiHidden/>
    <w:unhideWhenUsed/>
    <w:rsid w:val="00523EFA"/>
    <w:rPr>
      <w:rFonts w:ascii="宋体" w:hAnsi="Courier New" w:cs="Courier New"/>
      <w:szCs w:val="21"/>
    </w:rPr>
  </w:style>
  <w:style w:type="character" w:customStyle="1" w:styleId="Char7">
    <w:name w:val="纯文本 Char"/>
    <w:basedOn w:val="a2"/>
    <w:link w:val="af3"/>
    <w:uiPriority w:val="99"/>
    <w:semiHidden/>
    <w:rsid w:val="00523EFA"/>
    <w:rPr>
      <w:rFonts w:ascii="宋体" w:hAnsi="Courier New" w:cs="Courier New"/>
      <w:kern w:val="2"/>
      <w:sz w:val="21"/>
      <w:szCs w:val="21"/>
    </w:rPr>
  </w:style>
  <w:style w:type="paragraph" w:styleId="af4">
    <w:name w:val="E-mail Signature"/>
    <w:basedOn w:val="a1"/>
    <w:link w:val="Char8"/>
    <w:uiPriority w:val="99"/>
    <w:semiHidden/>
    <w:unhideWhenUsed/>
    <w:rsid w:val="00523EFA"/>
  </w:style>
  <w:style w:type="character" w:customStyle="1" w:styleId="Char8">
    <w:name w:val="电子邮件签名 Char"/>
    <w:basedOn w:val="a2"/>
    <w:link w:val="af4"/>
    <w:uiPriority w:val="99"/>
    <w:semiHidden/>
    <w:rsid w:val="00523EFA"/>
    <w:rPr>
      <w:rFonts w:ascii="Times New Roman" w:hAnsi="Times New Roman"/>
      <w:kern w:val="2"/>
      <w:sz w:val="21"/>
      <w:szCs w:val="22"/>
    </w:rPr>
  </w:style>
  <w:style w:type="paragraph" w:styleId="af5">
    <w:name w:val="Subtitle"/>
    <w:basedOn w:val="a1"/>
    <w:next w:val="a1"/>
    <w:link w:val="Char9"/>
    <w:uiPriority w:val="11"/>
    <w:qFormat/>
    <w:rsid w:val="00523EFA"/>
    <w:pPr>
      <w:spacing w:before="240" w:after="60" w:line="312" w:lineRule="auto"/>
      <w:jc w:val="center"/>
      <w:outlineLvl w:val="1"/>
    </w:pPr>
    <w:rPr>
      <w:rFonts w:asciiTheme="majorHAnsi" w:hAnsiTheme="majorHAnsi" w:cstheme="majorBidi"/>
      <w:b/>
      <w:bCs/>
      <w:kern w:val="28"/>
      <w:sz w:val="32"/>
      <w:szCs w:val="32"/>
    </w:rPr>
  </w:style>
  <w:style w:type="character" w:customStyle="1" w:styleId="Char9">
    <w:name w:val="副标题 Char"/>
    <w:basedOn w:val="a2"/>
    <w:link w:val="af5"/>
    <w:uiPriority w:val="11"/>
    <w:rsid w:val="00523EFA"/>
    <w:rPr>
      <w:rFonts w:asciiTheme="majorHAnsi" w:hAnsiTheme="majorHAnsi" w:cstheme="majorBidi"/>
      <w:b/>
      <w:bCs/>
      <w:kern w:val="28"/>
      <w:sz w:val="32"/>
      <w:szCs w:val="32"/>
    </w:rPr>
  </w:style>
  <w:style w:type="paragraph" w:styleId="af6">
    <w:name w:val="macro"/>
    <w:link w:val="Chara"/>
    <w:uiPriority w:val="99"/>
    <w:semiHidden/>
    <w:unhideWhenUsed/>
    <w:rsid w:val="00523EFA"/>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Chara">
    <w:name w:val="宏文本 Char"/>
    <w:basedOn w:val="a2"/>
    <w:link w:val="af6"/>
    <w:uiPriority w:val="99"/>
    <w:semiHidden/>
    <w:rsid w:val="00523EFA"/>
    <w:rPr>
      <w:rFonts w:ascii="Courier New" w:hAnsi="Courier New" w:cs="Courier New"/>
      <w:kern w:val="2"/>
      <w:sz w:val="24"/>
      <w:szCs w:val="24"/>
    </w:rPr>
  </w:style>
  <w:style w:type="paragraph" w:styleId="af7">
    <w:name w:val="envelope return"/>
    <w:basedOn w:val="a1"/>
    <w:uiPriority w:val="99"/>
    <w:semiHidden/>
    <w:unhideWhenUsed/>
    <w:rsid w:val="00523EFA"/>
    <w:pPr>
      <w:snapToGrid w:val="0"/>
    </w:pPr>
    <w:rPr>
      <w:rFonts w:asciiTheme="majorHAnsi" w:eastAsiaTheme="majorEastAsia" w:hAnsiTheme="majorHAnsi" w:cstheme="majorBidi"/>
    </w:rPr>
  </w:style>
  <w:style w:type="paragraph" w:styleId="af8">
    <w:name w:val="footnote text"/>
    <w:basedOn w:val="a1"/>
    <w:link w:val="Charb"/>
    <w:uiPriority w:val="99"/>
    <w:semiHidden/>
    <w:unhideWhenUsed/>
    <w:rsid w:val="00523EFA"/>
    <w:pPr>
      <w:snapToGrid w:val="0"/>
      <w:jc w:val="left"/>
    </w:pPr>
    <w:rPr>
      <w:sz w:val="18"/>
      <w:szCs w:val="18"/>
    </w:rPr>
  </w:style>
  <w:style w:type="character" w:customStyle="1" w:styleId="Charb">
    <w:name w:val="脚注文本 Char"/>
    <w:basedOn w:val="a2"/>
    <w:link w:val="af8"/>
    <w:uiPriority w:val="99"/>
    <w:semiHidden/>
    <w:rsid w:val="00523EFA"/>
    <w:rPr>
      <w:rFonts w:ascii="Times New Roman" w:hAnsi="Times New Roman"/>
      <w:kern w:val="2"/>
      <w:sz w:val="18"/>
      <w:szCs w:val="18"/>
    </w:rPr>
  </w:style>
  <w:style w:type="paragraph" w:styleId="af9">
    <w:name w:val="Closing"/>
    <w:basedOn w:val="a1"/>
    <w:link w:val="Charc"/>
    <w:uiPriority w:val="99"/>
    <w:semiHidden/>
    <w:unhideWhenUsed/>
    <w:rsid w:val="00523EFA"/>
    <w:pPr>
      <w:ind w:leftChars="2100" w:left="100"/>
    </w:pPr>
  </w:style>
  <w:style w:type="character" w:customStyle="1" w:styleId="Charc">
    <w:name w:val="结束语 Char"/>
    <w:basedOn w:val="a2"/>
    <w:link w:val="af9"/>
    <w:uiPriority w:val="99"/>
    <w:semiHidden/>
    <w:rsid w:val="00523EFA"/>
    <w:rPr>
      <w:rFonts w:ascii="Times New Roman" w:hAnsi="Times New Roman"/>
      <w:kern w:val="2"/>
      <w:sz w:val="21"/>
      <w:szCs w:val="22"/>
    </w:rPr>
  </w:style>
  <w:style w:type="paragraph" w:styleId="afa">
    <w:name w:val="List"/>
    <w:basedOn w:val="a1"/>
    <w:uiPriority w:val="99"/>
    <w:semiHidden/>
    <w:unhideWhenUsed/>
    <w:rsid w:val="00523EFA"/>
    <w:pPr>
      <w:ind w:left="200" w:hangingChars="200" w:hanging="200"/>
      <w:contextualSpacing/>
    </w:pPr>
  </w:style>
  <w:style w:type="paragraph" w:styleId="22">
    <w:name w:val="List 2"/>
    <w:basedOn w:val="a1"/>
    <w:uiPriority w:val="99"/>
    <w:semiHidden/>
    <w:unhideWhenUsed/>
    <w:rsid w:val="00523EFA"/>
    <w:pPr>
      <w:ind w:leftChars="200" w:left="100" w:hangingChars="200" w:hanging="200"/>
      <w:contextualSpacing/>
    </w:pPr>
  </w:style>
  <w:style w:type="paragraph" w:styleId="32">
    <w:name w:val="List 3"/>
    <w:basedOn w:val="a1"/>
    <w:uiPriority w:val="99"/>
    <w:semiHidden/>
    <w:unhideWhenUsed/>
    <w:rsid w:val="00523EFA"/>
    <w:pPr>
      <w:ind w:leftChars="400" w:left="100" w:hangingChars="200" w:hanging="200"/>
      <w:contextualSpacing/>
    </w:pPr>
  </w:style>
  <w:style w:type="paragraph" w:styleId="42">
    <w:name w:val="List 4"/>
    <w:basedOn w:val="a1"/>
    <w:uiPriority w:val="99"/>
    <w:semiHidden/>
    <w:unhideWhenUsed/>
    <w:rsid w:val="00523EFA"/>
    <w:pPr>
      <w:ind w:leftChars="600" w:left="100" w:hangingChars="200" w:hanging="200"/>
      <w:contextualSpacing/>
    </w:pPr>
  </w:style>
  <w:style w:type="paragraph" w:styleId="52">
    <w:name w:val="List 5"/>
    <w:basedOn w:val="a1"/>
    <w:uiPriority w:val="99"/>
    <w:semiHidden/>
    <w:unhideWhenUsed/>
    <w:rsid w:val="00523EFA"/>
    <w:pPr>
      <w:ind w:leftChars="800" w:left="100" w:hangingChars="200" w:hanging="200"/>
      <w:contextualSpacing/>
    </w:pPr>
  </w:style>
  <w:style w:type="paragraph" w:styleId="a">
    <w:name w:val="List Number"/>
    <w:basedOn w:val="a1"/>
    <w:uiPriority w:val="99"/>
    <w:semiHidden/>
    <w:unhideWhenUsed/>
    <w:rsid w:val="00523EFA"/>
    <w:pPr>
      <w:numPr>
        <w:numId w:val="7"/>
      </w:numPr>
      <w:contextualSpacing/>
    </w:pPr>
  </w:style>
  <w:style w:type="paragraph" w:styleId="2">
    <w:name w:val="List Number 2"/>
    <w:basedOn w:val="a1"/>
    <w:uiPriority w:val="99"/>
    <w:semiHidden/>
    <w:unhideWhenUsed/>
    <w:rsid w:val="00523EFA"/>
    <w:pPr>
      <w:numPr>
        <w:numId w:val="8"/>
      </w:numPr>
      <w:contextualSpacing/>
    </w:pPr>
  </w:style>
  <w:style w:type="paragraph" w:styleId="3">
    <w:name w:val="List Number 3"/>
    <w:basedOn w:val="a1"/>
    <w:uiPriority w:val="99"/>
    <w:semiHidden/>
    <w:unhideWhenUsed/>
    <w:rsid w:val="00523EFA"/>
    <w:pPr>
      <w:numPr>
        <w:numId w:val="9"/>
      </w:numPr>
      <w:contextualSpacing/>
    </w:pPr>
  </w:style>
  <w:style w:type="paragraph" w:styleId="4">
    <w:name w:val="List Number 4"/>
    <w:basedOn w:val="a1"/>
    <w:uiPriority w:val="99"/>
    <w:semiHidden/>
    <w:unhideWhenUsed/>
    <w:rsid w:val="00523EFA"/>
    <w:pPr>
      <w:numPr>
        <w:numId w:val="10"/>
      </w:numPr>
      <w:contextualSpacing/>
    </w:pPr>
  </w:style>
  <w:style w:type="paragraph" w:styleId="5">
    <w:name w:val="List Number 5"/>
    <w:basedOn w:val="a1"/>
    <w:uiPriority w:val="99"/>
    <w:semiHidden/>
    <w:unhideWhenUsed/>
    <w:rsid w:val="00523EFA"/>
    <w:pPr>
      <w:numPr>
        <w:numId w:val="11"/>
      </w:numPr>
      <w:contextualSpacing/>
    </w:pPr>
  </w:style>
  <w:style w:type="paragraph" w:styleId="afb">
    <w:name w:val="List Continue"/>
    <w:basedOn w:val="a1"/>
    <w:uiPriority w:val="99"/>
    <w:semiHidden/>
    <w:unhideWhenUsed/>
    <w:rsid w:val="00523EFA"/>
    <w:pPr>
      <w:spacing w:after="120"/>
      <w:ind w:leftChars="200" w:left="420"/>
      <w:contextualSpacing/>
    </w:pPr>
  </w:style>
  <w:style w:type="paragraph" w:styleId="23">
    <w:name w:val="List Continue 2"/>
    <w:basedOn w:val="a1"/>
    <w:uiPriority w:val="99"/>
    <w:semiHidden/>
    <w:unhideWhenUsed/>
    <w:rsid w:val="00523EFA"/>
    <w:pPr>
      <w:spacing w:after="120"/>
      <w:ind w:leftChars="400" w:left="840"/>
      <w:contextualSpacing/>
    </w:pPr>
  </w:style>
  <w:style w:type="paragraph" w:styleId="33">
    <w:name w:val="List Continue 3"/>
    <w:basedOn w:val="a1"/>
    <w:uiPriority w:val="99"/>
    <w:semiHidden/>
    <w:unhideWhenUsed/>
    <w:rsid w:val="00523EFA"/>
    <w:pPr>
      <w:spacing w:after="120"/>
      <w:ind w:leftChars="600" w:left="1260"/>
      <w:contextualSpacing/>
    </w:pPr>
  </w:style>
  <w:style w:type="paragraph" w:styleId="43">
    <w:name w:val="List Continue 4"/>
    <w:basedOn w:val="a1"/>
    <w:uiPriority w:val="99"/>
    <w:semiHidden/>
    <w:unhideWhenUsed/>
    <w:rsid w:val="00523EFA"/>
    <w:pPr>
      <w:spacing w:after="120"/>
      <w:ind w:leftChars="800" w:left="1680"/>
      <w:contextualSpacing/>
    </w:pPr>
  </w:style>
  <w:style w:type="paragraph" w:styleId="53">
    <w:name w:val="List Continue 5"/>
    <w:basedOn w:val="a1"/>
    <w:uiPriority w:val="99"/>
    <w:semiHidden/>
    <w:unhideWhenUsed/>
    <w:rsid w:val="00523EFA"/>
    <w:pPr>
      <w:spacing w:after="120"/>
      <w:ind w:leftChars="1000" w:left="2100"/>
      <w:contextualSpacing/>
    </w:pPr>
  </w:style>
  <w:style w:type="paragraph" w:styleId="a0">
    <w:name w:val="List Bullet"/>
    <w:basedOn w:val="a1"/>
    <w:uiPriority w:val="99"/>
    <w:semiHidden/>
    <w:unhideWhenUsed/>
    <w:rsid w:val="00523EFA"/>
    <w:pPr>
      <w:numPr>
        <w:numId w:val="12"/>
      </w:numPr>
      <w:contextualSpacing/>
    </w:pPr>
  </w:style>
  <w:style w:type="paragraph" w:styleId="20">
    <w:name w:val="List Bullet 2"/>
    <w:basedOn w:val="a1"/>
    <w:uiPriority w:val="99"/>
    <w:semiHidden/>
    <w:unhideWhenUsed/>
    <w:rsid w:val="00523EFA"/>
    <w:pPr>
      <w:numPr>
        <w:numId w:val="13"/>
      </w:numPr>
      <w:tabs>
        <w:tab w:val="clear" w:pos="780"/>
        <w:tab w:val="num" w:pos="360"/>
      </w:tabs>
      <w:ind w:leftChars="0" w:left="0" w:firstLineChars="0" w:firstLine="0"/>
      <w:contextualSpacing/>
    </w:pPr>
  </w:style>
  <w:style w:type="paragraph" w:styleId="30">
    <w:name w:val="List Bullet 3"/>
    <w:basedOn w:val="a1"/>
    <w:uiPriority w:val="99"/>
    <w:semiHidden/>
    <w:unhideWhenUsed/>
    <w:rsid w:val="00523EFA"/>
    <w:pPr>
      <w:numPr>
        <w:numId w:val="14"/>
      </w:numPr>
      <w:contextualSpacing/>
    </w:pPr>
  </w:style>
  <w:style w:type="paragraph" w:styleId="40">
    <w:name w:val="List Bullet 4"/>
    <w:basedOn w:val="a1"/>
    <w:uiPriority w:val="99"/>
    <w:semiHidden/>
    <w:unhideWhenUsed/>
    <w:rsid w:val="00523EFA"/>
    <w:pPr>
      <w:numPr>
        <w:numId w:val="15"/>
      </w:numPr>
      <w:contextualSpacing/>
    </w:pPr>
  </w:style>
  <w:style w:type="paragraph" w:styleId="50">
    <w:name w:val="List Bullet 5"/>
    <w:basedOn w:val="a1"/>
    <w:uiPriority w:val="99"/>
    <w:semiHidden/>
    <w:unhideWhenUsed/>
    <w:rsid w:val="00523EFA"/>
    <w:pPr>
      <w:numPr>
        <w:numId w:val="16"/>
      </w:numPr>
      <w:contextualSpacing/>
    </w:pPr>
  </w:style>
  <w:style w:type="paragraph" w:styleId="afc">
    <w:name w:val="Intense Quote"/>
    <w:basedOn w:val="a1"/>
    <w:next w:val="a1"/>
    <w:link w:val="Chard"/>
    <w:uiPriority w:val="30"/>
    <w:qFormat/>
    <w:rsid w:val="00523EFA"/>
    <w:pPr>
      <w:pBdr>
        <w:bottom w:val="single" w:sz="4" w:space="4" w:color="4F81BD" w:themeColor="accent1"/>
      </w:pBdr>
      <w:spacing w:before="200" w:after="280"/>
      <w:ind w:left="936" w:right="936"/>
    </w:pPr>
    <w:rPr>
      <w:b/>
      <w:bCs/>
      <w:i/>
      <w:iCs/>
      <w:color w:val="4F81BD" w:themeColor="accent1"/>
    </w:rPr>
  </w:style>
  <w:style w:type="character" w:customStyle="1" w:styleId="Chard">
    <w:name w:val="明显引用 Char"/>
    <w:basedOn w:val="a2"/>
    <w:link w:val="afc"/>
    <w:uiPriority w:val="30"/>
    <w:rsid w:val="00523EFA"/>
    <w:rPr>
      <w:rFonts w:ascii="Times New Roman" w:hAnsi="Times New Roman"/>
      <w:b/>
      <w:bCs/>
      <w:i/>
      <w:iCs/>
      <w:color w:val="4F81BD" w:themeColor="accent1"/>
      <w:kern w:val="2"/>
      <w:sz w:val="21"/>
      <w:szCs w:val="22"/>
    </w:rPr>
  </w:style>
  <w:style w:type="paragraph" w:styleId="24">
    <w:name w:val="toc 2"/>
    <w:basedOn w:val="a1"/>
    <w:next w:val="a1"/>
    <w:autoRedefine/>
    <w:uiPriority w:val="39"/>
    <w:semiHidden/>
    <w:unhideWhenUsed/>
    <w:rsid w:val="00523EFA"/>
    <w:pPr>
      <w:ind w:leftChars="200" w:left="420"/>
    </w:pPr>
  </w:style>
  <w:style w:type="paragraph" w:styleId="34">
    <w:name w:val="toc 3"/>
    <w:basedOn w:val="a1"/>
    <w:next w:val="a1"/>
    <w:autoRedefine/>
    <w:uiPriority w:val="39"/>
    <w:semiHidden/>
    <w:unhideWhenUsed/>
    <w:rsid w:val="00523EFA"/>
    <w:pPr>
      <w:ind w:leftChars="400" w:left="840"/>
    </w:pPr>
  </w:style>
  <w:style w:type="paragraph" w:styleId="44">
    <w:name w:val="toc 4"/>
    <w:basedOn w:val="a1"/>
    <w:next w:val="a1"/>
    <w:autoRedefine/>
    <w:uiPriority w:val="39"/>
    <w:semiHidden/>
    <w:unhideWhenUsed/>
    <w:rsid w:val="00523EFA"/>
    <w:pPr>
      <w:ind w:leftChars="600" w:left="1260"/>
    </w:pPr>
  </w:style>
  <w:style w:type="paragraph" w:styleId="54">
    <w:name w:val="toc 5"/>
    <w:basedOn w:val="a1"/>
    <w:next w:val="a1"/>
    <w:autoRedefine/>
    <w:uiPriority w:val="39"/>
    <w:semiHidden/>
    <w:unhideWhenUsed/>
    <w:rsid w:val="00523EFA"/>
    <w:pPr>
      <w:ind w:leftChars="800" w:left="1680"/>
    </w:pPr>
  </w:style>
  <w:style w:type="paragraph" w:styleId="60">
    <w:name w:val="toc 6"/>
    <w:basedOn w:val="a1"/>
    <w:next w:val="a1"/>
    <w:autoRedefine/>
    <w:uiPriority w:val="39"/>
    <w:semiHidden/>
    <w:unhideWhenUsed/>
    <w:rsid w:val="00523EFA"/>
    <w:pPr>
      <w:ind w:leftChars="1000" w:left="2100"/>
    </w:pPr>
  </w:style>
  <w:style w:type="paragraph" w:styleId="70">
    <w:name w:val="toc 7"/>
    <w:basedOn w:val="a1"/>
    <w:next w:val="a1"/>
    <w:autoRedefine/>
    <w:uiPriority w:val="39"/>
    <w:semiHidden/>
    <w:unhideWhenUsed/>
    <w:rsid w:val="00523EFA"/>
    <w:pPr>
      <w:ind w:leftChars="1200" w:left="2520"/>
    </w:pPr>
  </w:style>
  <w:style w:type="paragraph" w:styleId="80">
    <w:name w:val="toc 8"/>
    <w:basedOn w:val="a1"/>
    <w:next w:val="a1"/>
    <w:autoRedefine/>
    <w:uiPriority w:val="39"/>
    <w:semiHidden/>
    <w:unhideWhenUsed/>
    <w:rsid w:val="00523EFA"/>
    <w:pPr>
      <w:ind w:leftChars="1400" w:left="2940"/>
    </w:pPr>
  </w:style>
  <w:style w:type="paragraph" w:styleId="90">
    <w:name w:val="toc 9"/>
    <w:basedOn w:val="a1"/>
    <w:next w:val="a1"/>
    <w:autoRedefine/>
    <w:uiPriority w:val="39"/>
    <w:semiHidden/>
    <w:unhideWhenUsed/>
    <w:rsid w:val="00523EFA"/>
    <w:pPr>
      <w:ind w:leftChars="1600" w:left="3360"/>
    </w:pPr>
  </w:style>
  <w:style w:type="paragraph" w:styleId="afd">
    <w:name w:val="Normal (Web)"/>
    <w:basedOn w:val="a1"/>
    <w:uiPriority w:val="99"/>
    <w:semiHidden/>
    <w:unhideWhenUsed/>
    <w:rsid w:val="00523EFA"/>
    <w:rPr>
      <w:sz w:val="24"/>
      <w:szCs w:val="24"/>
    </w:rPr>
  </w:style>
  <w:style w:type="paragraph" w:styleId="afe">
    <w:name w:val="Signature"/>
    <w:basedOn w:val="a1"/>
    <w:link w:val="Chare"/>
    <w:uiPriority w:val="99"/>
    <w:semiHidden/>
    <w:unhideWhenUsed/>
    <w:rsid w:val="00523EFA"/>
    <w:pPr>
      <w:ind w:leftChars="2100" w:left="100"/>
    </w:pPr>
  </w:style>
  <w:style w:type="character" w:customStyle="1" w:styleId="Chare">
    <w:name w:val="签名 Char"/>
    <w:basedOn w:val="a2"/>
    <w:link w:val="afe"/>
    <w:uiPriority w:val="99"/>
    <w:semiHidden/>
    <w:rsid w:val="00523EFA"/>
    <w:rPr>
      <w:rFonts w:ascii="Times New Roman" w:hAnsi="Times New Roman"/>
      <w:kern w:val="2"/>
      <w:sz w:val="21"/>
      <w:szCs w:val="22"/>
    </w:rPr>
  </w:style>
  <w:style w:type="paragraph" w:styleId="aff">
    <w:name w:val="Date"/>
    <w:basedOn w:val="a1"/>
    <w:next w:val="a1"/>
    <w:link w:val="Charf"/>
    <w:uiPriority w:val="99"/>
    <w:semiHidden/>
    <w:unhideWhenUsed/>
    <w:rsid w:val="00523EFA"/>
    <w:pPr>
      <w:ind w:leftChars="2500" w:left="100"/>
    </w:pPr>
  </w:style>
  <w:style w:type="character" w:customStyle="1" w:styleId="Charf">
    <w:name w:val="日期 Char"/>
    <w:basedOn w:val="a2"/>
    <w:link w:val="aff"/>
    <w:uiPriority w:val="99"/>
    <w:semiHidden/>
    <w:rsid w:val="00523EFA"/>
    <w:rPr>
      <w:rFonts w:ascii="Times New Roman" w:hAnsi="Times New Roman"/>
      <w:kern w:val="2"/>
      <w:sz w:val="21"/>
      <w:szCs w:val="22"/>
    </w:rPr>
  </w:style>
  <w:style w:type="paragraph" w:styleId="aff0">
    <w:name w:val="envelope address"/>
    <w:basedOn w:val="a1"/>
    <w:uiPriority w:val="99"/>
    <w:semiHidden/>
    <w:unhideWhenUsed/>
    <w:rsid w:val="00523EFA"/>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aff1">
    <w:name w:val="Bibliography"/>
    <w:basedOn w:val="a1"/>
    <w:next w:val="a1"/>
    <w:uiPriority w:val="37"/>
    <w:semiHidden/>
    <w:unhideWhenUsed/>
    <w:rsid w:val="00523EFA"/>
  </w:style>
  <w:style w:type="paragraph" w:styleId="11">
    <w:name w:val="index 1"/>
    <w:basedOn w:val="a1"/>
    <w:next w:val="a1"/>
    <w:autoRedefine/>
    <w:uiPriority w:val="99"/>
    <w:semiHidden/>
    <w:unhideWhenUsed/>
    <w:rsid w:val="00523EFA"/>
  </w:style>
  <w:style w:type="paragraph" w:styleId="25">
    <w:name w:val="index 2"/>
    <w:basedOn w:val="a1"/>
    <w:next w:val="a1"/>
    <w:autoRedefine/>
    <w:uiPriority w:val="99"/>
    <w:semiHidden/>
    <w:unhideWhenUsed/>
    <w:rsid w:val="00523EFA"/>
    <w:pPr>
      <w:ind w:leftChars="200" w:left="200"/>
    </w:pPr>
  </w:style>
  <w:style w:type="paragraph" w:styleId="35">
    <w:name w:val="index 3"/>
    <w:basedOn w:val="a1"/>
    <w:next w:val="a1"/>
    <w:autoRedefine/>
    <w:uiPriority w:val="99"/>
    <w:semiHidden/>
    <w:unhideWhenUsed/>
    <w:rsid w:val="00523EFA"/>
    <w:pPr>
      <w:ind w:leftChars="400" w:left="400"/>
    </w:pPr>
  </w:style>
  <w:style w:type="paragraph" w:styleId="45">
    <w:name w:val="index 4"/>
    <w:basedOn w:val="a1"/>
    <w:next w:val="a1"/>
    <w:autoRedefine/>
    <w:uiPriority w:val="99"/>
    <w:semiHidden/>
    <w:unhideWhenUsed/>
    <w:rsid w:val="00523EFA"/>
    <w:pPr>
      <w:ind w:leftChars="600" w:left="600"/>
    </w:pPr>
  </w:style>
  <w:style w:type="paragraph" w:styleId="55">
    <w:name w:val="index 5"/>
    <w:basedOn w:val="a1"/>
    <w:next w:val="a1"/>
    <w:autoRedefine/>
    <w:uiPriority w:val="99"/>
    <w:semiHidden/>
    <w:unhideWhenUsed/>
    <w:rsid w:val="00523EFA"/>
    <w:pPr>
      <w:ind w:leftChars="800" w:left="800"/>
    </w:pPr>
  </w:style>
  <w:style w:type="paragraph" w:styleId="61">
    <w:name w:val="index 6"/>
    <w:basedOn w:val="a1"/>
    <w:next w:val="a1"/>
    <w:autoRedefine/>
    <w:uiPriority w:val="99"/>
    <w:semiHidden/>
    <w:unhideWhenUsed/>
    <w:rsid w:val="00523EFA"/>
    <w:pPr>
      <w:ind w:leftChars="1000" w:left="1000"/>
    </w:pPr>
  </w:style>
  <w:style w:type="paragraph" w:styleId="71">
    <w:name w:val="index 7"/>
    <w:basedOn w:val="a1"/>
    <w:next w:val="a1"/>
    <w:autoRedefine/>
    <w:uiPriority w:val="99"/>
    <w:semiHidden/>
    <w:unhideWhenUsed/>
    <w:rsid w:val="00523EFA"/>
    <w:pPr>
      <w:ind w:leftChars="1200" w:left="1200"/>
    </w:pPr>
  </w:style>
  <w:style w:type="paragraph" w:styleId="81">
    <w:name w:val="index 8"/>
    <w:basedOn w:val="a1"/>
    <w:next w:val="a1"/>
    <w:autoRedefine/>
    <w:uiPriority w:val="99"/>
    <w:semiHidden/>
    <w:unhideWhenUsed/>
    <w:rsid w:val="00523EFA"/>
    <w:pPr>
      <w:ind w:leftChars="1400" w:left="1400"/>
    </w:pPr>
  </w:style>
  <w:style w:type="paragraph" w:styleId="91">
    <w:name w:val="index 9"/>
    <w:basedOn w:val="a1"/>
    <w:next w:val="a1"/>
    <w:autoRedefine/>
    <w:uiPriority w:val="99"/>
    <w:semiHidden/>
    <w:unhideWhenUsed/>
    <w:rsid w:val="00523EFA"/>
    <w:pPr>
      <w:ind w:leftChars="1600" w:left="1600"/>
    </w:pPr>
  </w:style>
  <w:style w:type="paragraph" w:styleId="aff2">
    <w:name w:val="index heading"/>
    <w:basedOn w:val="a1"/>
    <w:next w:val="11"/>
    <w:uiPriority w:val="99"/>
    <w:semiHidden/>
    <w:unhideWhenUsed/>
    <w:rsid w:val="00523EFA"/>
    <w:rPr>
      <w:rFonts w:asciiTheme="majorHAnsi" w:eastAsiaTheme="majorEastAsia" w:hAnsiTheme="majorHAnsi" w:cstheme="majorBidi"/>
      <w:b/>
      <w:bCs/>
    </w:rPr>
  </w:style>
  <w:style w:type="paragraph" w:styleId="aff3">
    <w:name w:val="table of figures"/>
    <w:basedOn w:val="a1"/>
    <w:next w:val="a1"/>
    <w:uiPriority w:val="99"/>
    <w:semiHidden/>
    <w:unhideWhenUsed/>
    <w:rsid w:val="00523EFA"/>
    <w:pPr>
      <w:ind w:leftChars="200" w:left="200" w:hangingChars="200" w:hanging="200"/>
    </w:pPr>
  </w:style>
  <w:style w:type="paragraph" w:styleId="aff4">
    <w:name w:val="endnote text"/>
    <w:basedOn w:val="a1"/>
    <w:link w:val="Charf0"/>
    <w:uiPriority w:val="99"/>
    <w:semiHidden/>
    <w:unhideWhenUsed/>
    <w:rsid w:val="00523EFA"/>
    <w:pPr>
      <w:snapToGrid w:val="0"/>
      <w:jc w:val="left"/>
    </w:pPr>
  </w:style>
  <w:style w:type="character" w:customStyle="1" w:styleId="Charf0">
    <w:name w:val="尾注文本 Char"/>
    <w:basedOn w:val="a2"/>
    <w:link w:val="aff4"/>
    <w:uiPriority w:val="99"/>
    <w:semiHidden/>
    <w:rsid w:val="00523EFA"/>
    <w:rPr>
      <w:rFonts w:ascii="Times New Roman" w:hAnsi="Times New Roman"/>
      <w:kern w:val="2"/>
      <w:sz w:val="21"/>
      <w:szCs w:val="22"/>
    </w:rPr>
  </w:style>
  <w:style w:type="paragraph" w:styleId="aff5">
    <w:name w:val="Block Text"/>
    <w:basedOn w:val="a1"/>
    <w:uiPriority w:val="99"/>
    <w:semiHidden/>
    <w:unhideWhenUsed/>
    <w:rsid w:val="00523EFA"/>
    <w:pPr>
      <w:spacing w:after="120"/>
      <w:ind w:leftChars="700" w:left="1440" w:rightChars="700" w:right="1440"/>
    </w:pPr>
  </w:style>
  <w:style w:type="paragraph" w:styleId="aff6">
    <w:name w:val="Document Map"/>
    <w:basedOn w:val="a1"/>
    <w:link w:val="Charf1"/>
    <w:uiPriority w:val="99"/>
    <w:semiHidden/>
    <w:unhideWhenUsed/>
    <w:rsid w:val="00523EFA"/>
    <w:rPr>
      <w:rFonts w:ascii="宋体"/>
      <w:sz w:val="18"/>
      <w:szCs w:val="18"/>
    </w:rPr>
  </w:style>
  <w:style w:type="character" w:customStyle="1" w:styleId="Charf1">
    <w:name w:val="文档结构图 Char"/>
    <w:basedOn w:val="a2"/>
    <w:link w:val="aff6"/>
    <w:uiPriority w:val="99"/>
    <w:semiHidden/>
    <w:rsid w:val="00523EFA"/>
    <w:rPr>
      <w:rFonts w:ascii="宋体" w:hAnsi="Times New Roman"/>
      <w:kern w:val="2"/>
      <w:sz w:val="18"/>
      <w:szCs w:val="18"/>
    </w:rPr>
  </w:style>
  <w:style w:type="paragraph" w:styleId="aff7">
    <w:name w:val="Message Header"/>
    <w:basedOn w:val="a1"/>
    <w:link w:val="Charf2"/>
    <w:uiPriority w:val="99"/>
    <w:semiHidden/>
    <w:unhideWhenUsed/>
    <w:rsid w:val="00523EFA"/>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Charf2">
    <w:name w:val="信息标题 Char"/>
    <w:basedOn w:val="a2"/>
    <w:link w:val="aff7"/>
    <w:uiPriority w:val="99"/>
    <w:semiHidden/>
    <w:rsid w:val="00523EFA"/>
    <w:rPr>
      <w:rFonts w:asciiTheme="majorHAnsi" w:eastAsiaTheme="majorEastAsia" w:hAnsiTheme="majorHAnsi" w:cstheme="majorBidi"/>
      <w:kern w:val="2"/>
      <w:sz w:val="24"/>
      <w:szCs w:val="24"/>
      <w:shd w:val="pct20" w:color="auto" w:fill="auto"/>
    </w:rPr>
  </w:style>
  <w:style w:type="paragraph" w:styleId="aff8">
    <w:name w:val="table of authorities"/>
    <w:basedOn w:val="a1"/>
    <w:next w:val="a1"/>
    <w:uiPriority w:val="99"/>
    <w:semiHidden/>
    <w:unhideWhenUsed/>
    <w:rsid w:val="00523EFA"/>
    <w:pPr>
      <w:ind w:leftChars="200" w:left="420"/>
    </w:pPr>
  </w:style>
  <w:style w:type="paragraph" w:styleId="aff9">
    <w:name w:val="toa heading"/>
    <w:basedOn w:val="a1"/>
    <w:next w:val="a1"/>
    <w:uiPriority w:val="99"/>
    <w:semiHidden/>
    <w:unhideWhenUsed/>
    <w:rsid w:val="00523EFA"/>
    <w:pPr>
      <w:spacing w:before="120"/>
    </w:pPr>
    <w:rPr>
      <w:rFonts w:asciiTheme="majorHAnsi" w:hAnsiTheme="majorHAnsi" w:cstheme="majorBidi"/>
      <w:sz w:val="24"/>
      <w:szCs w:val="24"/>
    </w:rPr>
  </w:style>
  <w:style w:type="paragraph" w:styleId="affa">
    <w:name w:val="Quote"/>
    <w:basedOn w:val="a1"/>
    <w:next w:val="a1"/>
    <w:link w:val="Charf3"/>
    <w:uiPriority w:val="29"/>
    <w:qFormat/>
    <w:rsid w:val="00523EFA"/>
    <w:rPr>
      <w:i/>
      <w:iCs/>
      <w:color w:val="000000" w:themeColor="text1"/>
    </w:rPr>
  </w:style>
  <w:style w:type="character" w:customStyle="1" w:styleId="Charf3">
    <w:name w:val="引用 Char"/>
    <w:basedOn w:val="a2"/>
    <w:link w:val="affa"/>
    <w:uiPriority w:val="29"/>
    <w:rsid w:val="00523EFA"/>
    <w:rPr>
      <w:rFonts w:ascii="Times New Roman" w:hAnsi="Times New Roman"/>
      <w:i/>
      <w:iCs/>
      <w:color w:val="000000" w:themeColor="text1"/>
      <w:kern w:val="2"/>
      <w:sz w:val="21"/>
      <w:szCs w:val="22"/>
    </w:rPr>
  </w:style>
  <w:style w:type="paragraph" w:styleId="affb">
    <w:name w:val="Body Text"/>
    <w:basedOn w:val="a1"/>
    <w:link w:val="Charf4"/>
    <w:uiPriority w:val="99"/>
    <w:semiHidden/>
    <w:unhideWhenUsed/>
    <w:rsid w:val="00523EFA"/>
    <w:pPr>
      <w:spacing w:after="120"/>
    </w:pPr>
  </w:style>
  <w:style w:type="character" w:customStyle="1" w:styleId="Charf4">
    <w:name w:val="正文文本 Char"/>
    <w:basedOn w:val="a2"/>
    <w:link w:val="affb"/>
    <w:uiPriority w:val="99"/>
    <w:semiHidden/>
    <w:rsid w:val="00523EFA"/>
    <w:rPr>
      <w:rFonts w:ascii="Times New Roman" w:hAnsi="Times New Roman"/>
      <w:kern w:val="2"/>
      <w:sz w:val="21"/>
      <w:szCs w:val="22"/>
    </w:rPr>
  </w:style>
  <w:style w:type="paragraph" w:styleId="affc">
    <w:name w:val="Body Text First Indent"/>
    <w:basedOn w:val="affb"/>
    <w:link w:val="Charf5"/>
    <w:uiPriority w:val="99"/>
    <w:semiHidden/>
    <w:unhideWhenUsed/>
    <w:rsid w:val="00523EFA"/>
    <w:pPr>
      <w:ind w:firstLineChars="100" w:firstLine="420"/>
    </w:pPr>
  </w:style>
  <w:style w:type="character" w:customStyle="1" w:styleId="Charf5">
    <w:name w:val="正文首行缩进 Char"/>
    <w:basedOn w:val="Charf4"/>
    <w:link w:val="affc"/>
    <w:uiPriority w:val="99"/>
    <w:semiHidden/>
    <w:rsid w:val="00523EFA"/>
    <w:rPr>
      <w:rFonts w:ascii="Times New Roman" w:hAnsi="Times New Roman"/>
      <w:kern w:val="2"/>
      <w:sz w:val="21"/>
      <w:szCs w:val="22"/>
    </w:rPr>
  </w:style>
  <w:style w:type="paragraph" w:styleId="affd">
    <w:name w:val="Body Text Indent"/>
    <w:basedOn w:val="a1"/>
    <w:link w:val="Charf6"/>
    <w:uiPriority w:val="99"/>
    <w:semiHidden/>
    <w:unhideWhenUsed/>
    <w:rsid w:val="00523EFA"/>
    <w:pPr>
      <w:spacing w:after="120"/>
      <w:ind w:leftChars="200" w:left="420"/>
    </w:pPr>
  </w:style>
  <w:style w:type="character" w:customStyle="1" w:styleId="Charf6">
    <w:name w:val="正文文本缩进 Char"/>
    <w:basedOn w:val="a2"/>
    <w:link w:val="affd"/>
    <w:uiPriority w:val="99"/>
    <w:semiHidden/>
    <w:rsid w:val="00523EFA"/>
    <w:rPr>
      <w:rFonts w:ascii="Times New Roman" w:hAnsi="Times New Roman"/>
      <w:kern w:val="2"/>
      <w:sz w:val="21"/>
      <w:szCs w:val="22"/>
    </w:rPr>
  </w:style>
  <w:style w:type="paragraph" w:styleId="26">
    <w:name w:val="Body Text First Indent 2"/>
    <w:basedOn w:val="affd"/>
    <w:link w:val="2Char0"/>
    <w:uiPriority w:val="99"/>
    <w:semiHidden/>
    <w:unhideWhenUsed/>
    <w:rsid w:val="00523EFA"/>
    <w:pPr>
      <w:ind w:firstLineChars="200" w:firstLine="420"/>
    </w:pPr>
  </w:style>
  <w:style w:type="character" w:customStyle="1" w:styleId="2Char0">
    <w:name w:val="正文首行缩进 2 Char"/>
    <w:basedOn w:val="Charf6"/>
    <w:link w:val="26"/>
    <w:uiPriority w:val="99"/>
    <w:semiHidden/>
    <w:rsid w:val="00523EFA"/>
    <w:rPr>
      <w:rFonts w:ascii="Times New Roman" w:hAnsi="Times New Roman"/>
      <w:kern w:val="2"/>
      <w:sz w:val="21"/>
      <w:szCs w:val="22"/>
    </w:rPr>
  </w:style>
  <w:style w:type="paragraph" w:styleId="affe">
    <w:name w:val="Normal Indent"/>
    <w:basedOn w:val="a1"/>
    <w:uiPriority w:val="99"/>
    <w:semiHidden/>
    <w:unhideWhenUsed/>
    <w:rsid w:val="00523EFA"/>
    <w:pPr>
      <w:ind w:firstLineChars="200" w:firstLine="420"/>
    </w:pPr>
  </w:style>
  <w:style w:type="paragraph" w:styleId="27">
    <w:name w:val="Body Text 2"/>
    <w:basedOn w:val="a1"/>
    <w:link w:val="2Char1"/>
    <w:uiPriority w:val="99"/>
    <w:semiHidden/>
    <w:unhideWhenUsed/>
    <w:rsid w:val="00523EFA"/>
    <w:pPr>
      <w:spacing w:after="120" w:line="480" w:lineRule="auto"/>
    </w:pPr>
  </w:style>
  <w:style w:type="character" w:customStyle="1" w:styleId="2Char1">
    <w:name w:val="正文文本 2 Char"/>
    <w:basedOn w:val="a2"/>
    <w:link w:val="27"/>
    <w:uiPriority w:val="99"/>
    <w:semiHidden/>
    <w:rsid w:val="00523EFA"/>
    <w:rPr>
      <w:rFonts w:ascii="Times New Roman" w:hAnsi="Times New Roman"/>
      <w:kern w:val="2"/>
      <w:sz w:val="21"/>
      <w:szCs w:val="22"/>
    </w:rPr>
  </w:style>
  <w:style w:type="paragraph" w:styleId="36">
    <w:name w:val="Body Text 3"/>
    <w:basedOn w:val="a1"/>
    <w:link w:val="3Char0"/>
    <w:uiPriority w:val="99"/>
    <w:semiHidden/>
    <w:unhideWhenUsed/>
    <w:rsid w:val="00523EFA"/>
    <w:pPr>
      <w:spacing w:after="120"/>
    </w:pPr>
    <w:rPr>
      <w:sz w:val="16"/>
      <w:szCs w:val="16"/>
    </w:rPr>
  </w:style>
  <w:style w:type="character" w:customStyle="1" w:styleId="3Char0">
    <w:name w:val="正文文本 3 Char"/>
    <w:basedOn w:val="a2"/>
    <w:link w:val="36"/>
    <w:uiPriority w:val="99"/>
    <w:semiHidden/>
    <w:rsid w:val="00523EFA"/>
    <w:rPr>
      <w:rFonts w:ascii="Times New Roman" w:hAnsi="Times New Roman"/>
      <w:kern w:val="2"/>
      <w:sz w:val="16"/>
      <w:szCs w:val="16"/>
    </w:rPr>
  </w:style>
  <w:style w:type="paragraph" w:styleId="28">
    <w:name w:val="Body Text Indent 2"/>
    <w:basedOn w:val="a1"/>
    <w:link w:val="2Char2"/>
    <w:uiPriority w:val="99"/>
    <w:semiHidden/>
    <w:unhideWhenUsed/>
    <w:rsid w:val="00523EFA"/>
    <w:pPr>
      <w:spacing w:after="120" w:line="480" w:lineRule="auto"/>
      <w:ind w:leftChars="200" w:left="420"/>
    </w:pPr>
  </w:style>
  <w:style w:type="character" w:customStyle="1" w:styleId="2Char2">
    <w:name w:val="正文文本缩进 2 Char"/>
    <w:basedOn w:val="a2"/>
    <w:link w:val="28"/>
    <w:uiPriority w:val="99"/>
    <w:semiHidden/>
    <w:rsid w:val="00523EFA"/>
    <w:rPr>
      <w:rFonts w:ascii="Times New Roman" w:hAnsi="Times New Roman"/>
      <w:kern w:val="2"/>
      <w:sz w:val="21"/>
      <w:szCs w:val="22"/>
    </w:rPr>
  </w:style>
  <w:style w:type="paragraph" w:styleId="37">
    <w:name w:val="Body Text Indent 3"/>
    <w:basedOn w:val="a1"/>
    <w:link w:val="3Char1"/>
    <w:uiPriority w:val="99"/>
    <w:semiHidden/>
    <w:unhideWhenUsed/>
    <w:rsid w:val="00523EFA"/>
    <w:pPr>
      <w:spacing w:after="120"/>
      <w:ind w:leftChars="200" w:left="420"/>
    </w:pPr>
    <w:rPr>
      <w:sz w:val="16"/>
      <w:szCs w:val="16"/>
    </w:rPr>
  </w:style>
  <w:style w:type="character" w:customStyle="1" w:styleId="3Char1">
    <w:name w:val="正文文本缩进 3 Char"/>
    <w:basedOn w:val="a2"/>
    <w:link w:val="37"/>
    <w:uiPriority w:val="99"/>
    <w:semiHidden/>
    <w:rsid w:val="00523EFA"/>
    <w:rPr>
      <w:rFonts w:ascii="Times New Roman" w:hAnsi="Times New Roman"/>
      <w:kern w:val="2"/>
      <w:sz w:val="16"/>
      <w:szCs w:val="16"/>
    </w:rPr>
  </w:style>
  <w:style w:type="paragraph" w:styleId="afff">
    <w:name w:val="Note Heading"/>
    <w:basedOn w:val="a1"/>
    <w:next w:val="a1"/>
    <w:link w:val="Charf7"/>
    <w:uiPriority w:val="99"/>
    <w:semiHidden/>
    <w:unhideWhenUsed/>
    <w:rsid w:val="00523EFA"/>
    <w:pPr>
      <w:jc w:val="center"/>
    </w:pPr>
  </w:style>
  <w:style w:type="character" w:customStyle="1" w:styleId="Charf7">
    <w:name w:val="注释标题 Char"/>
    <w:basedOn w:val="a2"/>
    <w:link w:val="afff"/>
    <w:uiPriority w:val="99"/>
    <w:semiHidden/>
    <w:rsid w:val="00523EFA"/>
    <w:rPr>
      <w:rFonts w:ascii="Times New Roman" w:hAnsi="Times New Roman"/>
      <w:kern w:val="2"/>
      <w:sz w:val="21"/>
      <w:szCs w:val="22"/>
    </w:rPr>
  </w:style>
  <w:style w:type="numbering" w:customStyle="1" w:styleId="12">
    <w:name w:val="无列表1"/>
    <w:next w:val="a4"/>
    <w:uiPriority w:val="99"/>
    <w:semiHidden/>
    <w:unhideWhenUsed/>
    <w:rsid w:val="00523EFA"/>
  </w:style>
  <w:style w:type="table" w:customStyle="1" w:styleId="13">
    <w:name w:val="网格型1"/>
    <w:basedOn w:val="a3"/>
    <w:next w:val="a8"/>
    <w:uiPriority w:val="59"/>
    <w:rsid w:val="00523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网格型2"/>
    <w:basedOn w:val="a3"/>
    <w:next w:val="a8"/>
    <w:uiPriority w:val="59"/>
    <w:rsid w:val="000A0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05">
    <w:name w:val="normal105"/>
    <w:basedOn w:val="a2"/>
    <w:rsid w:val="003B0E4B"/>
  </w:style>
  <w:style w:type="character" w:styleId="afff0">
    <w:name w:val="Strong"/>
    <w:basedOn w:val="a2"/>
    <w:uiPriority w:val="22"/>
    <w:qFormat/>
    <w:rsid w:val="009937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0484">
      <w:bodyDiv w:val="1"/>
      <w:marLeft w:val="0"/>
      <w:marRight w:val="0"/>
      <w:marTop w:val="0"/>
      <w:marBottom w:val="0"/>
      <w:divBdr>
        <w:top w:val="none" w:sz="0" w:space="0" w:color="auto"/>
        <w:left w:val="none" w:sz="0" w:space="0" w:color="auto"/>
        <w:bottom w:val="none" w:sz="0" w:space="0" w:color="auto"/>
        <w:right w:val="none" w:sz="0" w:space="0" w:color="auto"/>
      </w:divBdr>
    </w:div>
    <w:div w:id="7148457">
      <w:bodyDiv w:val="1"/>
      <w:marLeft w:val="0"/>
      <w:marRight w:val="0"/>
      <w:marTop w:val="0"/>
      <w:marBottom w:val="0"/>
      <w:divBdr>
        <w:top w:val="none" w:sz="0" w:space="0" w:color="auto"/>
        <w:left w:val="none" w:sz="0" w:space="0" w:color="auto"/>
        <w:bottom w:val="none" w:sz="0" w:space="0" w:color="auto"/>
        <w:right w:val="none" w:sz="0" w:space="0" w:color="auto"/>
      </w:divBdr>
    </w:div>
    <w:div w:id="7564159">
      <w:bodyDiv w:val="1"/>
      <w:marLeft w:val="0"/>
      <w:marRight w:val="0"/>
      <w:marTop w:val="0"/>
      <w:marBottom w:val="0"/>
      <w:divBdr>
        <w:top w:val="none" w:sz="0" w:space="0" w:color="auto"/>
        <w:left w:val="none" w:sz="0" w:space="0" w:color="auto"/>
        <w:bottom w:val="none" w:sz="0" w:space="0" w:color="auto"/>
        <w:right w:val="none" w:sz="0" w:space="0" w:color="auto"/>
      </w:divBdr>
    </w:div>
    <w:div w:id="70203728">
      <w:bodyDiv w:val="1"/>
      <w:marLeft w:val="0"/>
      <w:marRight w:val="0"/>
      <w:marTop w:val="0"/>
      <w:marBottom w:val="0"/>
      <w:divBdr>
        <w:top w:val="none" w:sz="0" w:space="0" w:color="auto"/>
        <w:left w:val="none" w:sz="0" w:space="0" w:color="auto"/>
        <w:bottom w:val="none" w:sz="0" w:space="0" w:color="auto"/>
        <w:right w:val="none" w:sz="0" w:space="0" w:color="auto"/>
      </w:divBdr>
      <w:divsChild>
        <w:div w:id="1007288567">
          <w:marLeft w:val="0"/>
          <w:marRight w:val="0"/>
          <w:marTop w:val="0"/>
          <w:marBottom w:val="0"/>
          <w:divBdr>
            <w:top w:val="none" w:sz="0" w:space="0" w:color="auto"/>
            <w:left w:val="none" w:sz="0" w:space="0" w:color="auto"/>
            <w:bottom w:val="none" w:sz="0" w:space="0" w:color="auto"/>
            <w:right w:val="none" w:sz="0" w:space="0" w:color="auto"/>
          </w:divBdr>
          <w:divsChild>
            <w:div w:id="1044215574">
              <w:marLeft w:val="0"/>
              <w:marRight w:val="0"/>
              <w:marTop w:val="0"/>
              <w:marBottom w:val="0"/>
              <w:divBdr>
                <w:top w:val="none" w:sz="0" w:space="0" w:color="auto"/>
                <w:left w:val="none" w:sz="0" w:space="0" w:color="auto"/>
                <w:bottom w:val="none" w:sz="0" w:space="0" w:color="auto"/>
                <w:right w:val="none" w:sz="0" w:space="0" w:color="auto"/>
              </w:divBdr>
              <w:divsChild>
                <w:div w:id="150607738">
                  <w:marLeft w:val="0"/>
                  <w:marRight w:val="0"/>
                  <w:marTop w:val="150"/>
                  <w:marBottom w:val="0"/>
                  <w:divBdr>
                    <w:top w:val="none" w:sz="0" w:space="0" w:color="auto"/>
                    <w:left w:val="none" w:sz="0" w:space="0" w:color="auto"/>
                    <w:bottom w:val="none" w:sz="0" w:space="0" w:color="auto"/>
                    <w:right w:val="none" w:sz="0" w:space="0" w:color="auto"/>
                  </w:divBdr>
                  <w:divsChild>
                    <w:div w:id="1064909478">
                      <w:marLeft w:val="0"/>
                      <w:marRight w:val="0"/>
                      <w:marTop w:val="375"/>
                      <w:marBottom w:val="0"/>
                      <w:divBdr>
                        <w:top w:val="none" w:sz="0" w:space="0" w:color="auto"/>
                        <w:left w:val="none" w:sz="0" w:space="0" w:color="auto"/>
                        <w:bottom w:val="none" w:sz="0" w:space="0" w:color="auto"/>
                        <w:right w:val="none" w:sz="0" w:space="0" w:color="auto"/>
                      </w:divBdr>
                      <w:divsChild>
                        <w:div w:id="1575777934">
                          <w:marLeft w:val="0"/>
                          <w:marRight w:val="0"/>
                          <w:marTop w:val="0"/>
                          <w:marBottom w:val="0"/>
                          <w:divBdr>
                            <w:top w:val="none" w:sz="0" w:space="0" w:color="auto"/>
                            <w:left w:val="none" w:sz="0" w:space="0" w:color="auto"/>
                            <w:bottom w:val="none" w:sz="0" w:space="0" w:color="auto"/>
                            <w:right w:val="none" w:sz="0" w:space="0" w:color="auto"/>
                          </w:divBdr>
                          <w:divsChild>
                            <w:div w:id="58742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1234">
      <w:bodyDiv w:val="1"/>
      <w:marLeft w:val="0"/>
      <w:marRight w:val="0"/>
      <w:marTop w:val="0"/>
      <w:marBottom w:val="0"/>
      <w:divBdr>
        <w:top w:val="none" w:sz="0" w:space="0" w:color="auto"/>
        <w:left w:val="none" w:sz="0" w:space="0" w:color="auto"/>
        <w:bottom w:val="none" w:sz="0" w:space="0" w:color="auto"/>
        <w:right w:val="none" w:sz="0" w:space="0" w:color="auto"/>
      </w:divBdr>
    </w:div>
    <w:div w:id="131404946">
      <w:bodyDiv w:val="1"/>
      <w:marLeft w:val="0"/>
      <w:marRight w:val="0"/>
      <w:marTop w:val="0"/>
      <w:marBottom w:val="0"/>
      <w:divBdr>
        <w:top w:val="none" w:sz="0" w:space="0" w:color="auto"/>
        <w:left w:val="none" w:sz="0" w:space="0" w:color="auto"/>
        <w:bottom w:val="none" w:sz="0" w:space="0" w:color="auto"/>
        <w:right w:val="none" w:sz="0" w:space="0" w:color="auto"/>
      </w:divBdr>
    </w:div>
    <w:div w:id="210926672">
      <w:bodyDiv w:val="1"/>
      <w:marLeft w:val="0"/>
      <w:marRight w:val="0"/>
      <w:marTop w:val="0"/>
      <w:marBottom w:val="0"/>
      <w:divBdr>
        <w:top w:val="none" w:sz="0" w:space="0" w:color="auto"/>
        <w:left w:val="none" w:sz="0" w:space="0" w:color="auto"/>
        <w:bottom w:val="none" w:sz="0" w:space="0" w:color="auto"/>
        <w:right w:val="none" w:sz="0" w:space="0" w:color="auto"/>
      </w:divBdr>
    </w:div>
    <w:div w:id="258414238">
      <w:bodyDiv w:val="1"/>
      <w:marLeft w:val="0"/>
      <w:marRight w:val="0"/>
      <w:marTop w:val="0"/>
      <w:marBottom w:val="0"/>
      <w:divBdr>
        <w:top w:val="none" w:sz="0" w:space="0" w:color="auto"/>
        <w:left w:val="none" w:sz="0" w:space="0" w:color="auto"/>
        <w:bottom w:val="none" w:sz="0" w:space="0" w:color="auto"/>
        <w:right w:val="none" w:sz="0" w:space="0" w:color="auto"/>
      </w:divBdr>
    </w:div>
    <w:div w:id="259803215">
      <w:bodyDiv w:val="1"/>
      <w:marLeft w:val="0"/>
      <w:marRight w:val="0"/>
      <w:marTop w:val="0"/>
      <w:marBottom w:val="0"/>
      <w:divBdr>
        <w:top w:val="none" w:sz="0" w:space="0" w:color="auto"/>
        <w:left w:val="none" w:sz="0" w:space="0" w:color="auto"/>
        <w:bottom w:val="none" w:sz="0" w:space="0" w:color="auto"/>
        <w:right w:val="none" w:sz="0" w:space="0" w:color="auto"/>
      </w:divBdr>
    </w:div>
    <w:div w:id="316615503">
      <w:bodyDiv w:val="1"/>
      <w:marLeft w:val="0"/>
      <w:marRight w:val="0"/>
      <w:marTop w:val="0"/>
      <w:marBottom w:val="0"/>
      <w:divBdr>
        <w:top w:val="none" w:sz="0" w:space="0" w:color="auto"/>
        <w:left w:val="none" w:sz="0" w:space="0" w:color="auto"/>
        <w:bottom w:val="none" w:sz="0" w:space="0" w:color="auto"/>
        <w:right w:val="none" w:sz="0" w:space="0" w:color="auto"/>
      </w:divBdr>
    </w:div>
    <w:div w:id="321586854">
      <w:bodyDiv w:val="1"/>
      <w:marLeft w:val="0"/>
      <w:marRight w:val="0"/>
      <w:marTop w:val="0"/>
      <w:marBottom w:val="0"/>
      <w:divBdr>
        <w:top w:val="none" w:sz="0" w:space="0" w:color="auto"/>
        <w:left w:val="none" w:sz="0" w:space="0" w:color="auto"/>
        <w:bottom w:val="none" w:sz="0" w:space="0" w:color="auto"/>
        <w:right w:val="none" w:sz="0" w:space="0" w:color="auto"/>
      </w:divBdr>
    </w:div>
    <w:div w:id="460656292">
      <w:bodyDiv w:val="1"/>
      <w:marLeft w:val="0"/>
      <w:marRight w:val="0"/>
      <w:marTop w:val="0"/>
      <w:marBottom w:val="0"/>
      <w:divBdr>
        <w:top w:val="none" w:sz="0" w:space="0" w:color="auto"/>
        <w:left w:val="none" w:sz="0" w:space="0" w:color="auto"/>
        <w:bottom w:val="none" w:sz="0" w:space="0" w:color="auto"/>
        <w:right w:val="none" w:sz="0" w:space="0" w:color="auto"/>
      </w:divBdr>
    </w:div>
    <w:div w:id="557474797">
      <w:bodyDiv w:val="1"/>
      <w:marLeft w:val="0"/>
      <w:marRight w:val="0"/>
      <w:marTop w:val="0"/>
      <w:marBottom w:val="0"/>
      <w:divBdr>
        <w:top w:val="none" w:sz="0" w:space="0" w:color="auto"/>
        <w:left w:val="none" w:sz="0" w:space="0" w:color="auto"/>
        <w:bottom w:val="none" w:sz="0" w:space="0" w:color="auto"/>
        <w:right w:val="none" w:sz="0" w:space="0" w:color="auto"/>
      </w:divBdr>
    </w:div>
    <w:div w:id="608246278">
      <w:bodyDiv w:val="1"/>
      <w:marLeft w:val="0"/>
      <w:marRight w:val="0"/>
      <w:marTop w:val="0"/>
      <w:marBottom w:val="0"/>
      <w:divBdr>
        <w:top w:val="none" w:sz="0" w:space="0" w:color="auto"/>
        <w:left w:val="none" w:sz="0" w:space="0" w:color="auto"/>
        <w:bottom w:val="none" w:sz="0" w:space="0" w:color="auto"/>
        <w:right w:val="none" w:sz="0" w:space="0" w:color="auto"/>
      </w:divBdr>
    </w:div>
    <w:div w:id="763766468">
      <w:bodyDiv w:val="1"/>
      <w:marLeft w:val="0"/>
      <w:marRight w:val="0"/>
      <w:marTop w:val="0"/>
      <w:marBottom w:val="0"/>
      <w:divBdr>
        <w:top w:val="none" w:sz="0" w:space="0" w:color="auto"/>
        <w:left w:val="none" w:sz="0" w:space="0" w:color="auto"/>
        <w:bottom w:val="none" w:sz="0" w:space="0" w:color="auto"/>
        <w:right w:val="none" w:sz="0" w:space="0" w:color="auto"/>
      </w:divBdr>
      <w:divsChild>
        <w:div w:id="22052354">
          <w:marLeft w:val="0"/>
          <w:marRight w:val="0"/>
          <w:marTop w:val="0"/>
          <w:marBottom w:val="0"/>
          <w:divBdr>
            <w:top w:val="none" w:sz="0" w:space="0" w:color="auto"/>
            <w:left w:val="none" w:sz="0" w:space="0" w:color="auto"/>
            <w:bottom w:val="none" w:sz="0" w:space="0" w:color="auto"/>
            <w:right w:val="none" w:sz="0" w:space="0" w:color="auto"/>
          </w:divBdr>
        </w:div>
      </w:divsChild>
    </w:div>
    <w:div w:id="804548629">
      <w:bodyDiv w:val="1"/>
      <w:marLeft w:val="0"/>
      <w:marRight w:val="0"/>
      <w:marTop w:val="0"/>
      <w:marBottom w:val="0"/>
      <w:divBdr>
        <w:top w:val="none" w:sz="0" w:space="0" w:color="auto"/>
        <w:left w:val="none" w:sz="0" w:space="0" w:color="auto"/>
        <w:bottom w:val="none" w:sz="0" w:space="0" w:color="auto"/>
        <w:right w:val="none" w:sz="0" w:space="0" w:color="auto"/>
      </w:divBdr>
    </w:div>
    <w:div w:id="805126046">
      <w:bodyDiv w:val="1"/>
      <w:marLeft w:val="0"/>
      <w:marRight w:val="0"/>
      <w:marTop w:val="0"/>
      <w:marBottom w:val="0"/>
      <w:divBdr>
        <w:top w:val="none" w:sz="0" w:space="0" w:color="auto"/>
        <w:left w:val="none" w:sz="0" w:space="0" w:color="auto"/>
        <w:bottom w:val="none" w:sz="0" w:space="0" w:color="auto"/>
        <w:right w:val="none" w:sz="0" w:space="0" w:color="auto"/>
      </w:divBdr>
    </w:div>
    <w:div w:id="852455421">
      <w:bodyDiv w:val="1"/>
      <w:marLeft w:val="0"/>
      <w:marRight w:val="0"/>
      <w:marTop w:val="0"/>
      <w:marBottom w:val="0"/>
      <w:divBdr>
        <w:top w:val="none" w:sz="0" w:space="0" w:color="auto"/>
        <w:left w:val="none" w:sz="0" w:space="0" w:color="auto"/>
        <w:bottom w:val="none" w:sz="0" w:space="0" w:color="auto"/>
        <w:right w:val="none" w:sz="0" w:space="0" w:color="auto"/>
      </w:divBdr>
    </w:div>
    <w:div w:id="963122361">
      <w:bodyDiv w:val="1"/>
      <w:marLeft w:val="0"/>
      <w:marRight w:val="0"/>
      <w:marTop w:val="0"/>
      <w:marBottom w:val="0"/>
      <w:divBdr>
        <w:top w:val="none" w:sz="0" w:space="0" w:color="auto"/>
        <w:left w:val="none" w:sz="0" w:space="0" w:color="auto"/>
        <w:bottom w:val="none" w:sz="0" w:space="0" w:color="auto"/>
        <w:right w:val="none" w:sz="0" w:space="0" w:color="auto"/>
      </w:divBdr>
    </w:div>
    <w:div w:id="976564283">
      <w:bodyDiv w:val="1"/>
      <w:marLeft w:val="0"/>
      <w:marRight w:val="0"/>
      <w:marTop w:val="0"/>
      <w:marBottom w:val="0"/>
      <w:divBdr>
        <w:top w:val="none" w:sz="0" w:space="0" w:color="auto"/>
        <w:left w:val="none" w:sz="0" w:space="0" w:color="auto"/>
        <w:bottom w:val="none" w:sz="0" w:space="0" w:color="auto"/>
        <w:right w:val="none" w:sz="0" w:space="0" w:color="auto"/>
      </w:divBdr>
    </w:div>
    <w:div w:id="978919923">
      <w:bodyDiv w:val="1"/>
      <w:marLeft w:val="0"/>
      <w:marRight w:val="0"/>
      <w:marTop w:val="0"/>
      <w:marBottom w:val="0"/>
      <w:divBdr>
        <w:top w:val="none" w:sz="0" w:space="0" w:color="auto"/>
        <w:left w:val="none" w:sz="0" w:space="0" w:color="auto"/>
        <w:bottom w:val="none" w:sz="0" w:space="0" w:color="auto"/>
        <w:right w:val="none" w:sz="0" w:space="0" w:color="auto"/>
      </w:divBdr>
    </w:div>
    <w:div w:id="1011882443">
      <w:bodyDiv w:val="1"/>
      <w:marLeft w:val="0"/>
      <w:marRight w:val="0"/>
      <w:marTop w:val="0"/>
      <w:marBottom w:val="0"/>
      <w:divBdr>
        <w:top w:val="none" w:sz="0" w:space="0" w:color="auto"/>
        <w:left w:val="none" w:sz="0" w:space="0" w:color="auto"/>
        <w:bottom w:val="none" w:sz="0" w:space="0" w:color="auto"/>
        <w:right w:val="none" w:sz="0" w:space="0" w:color="auto"/>
      </w:divBdr>
      <w:divsChild>
        <w:div w:id="1140003609">
          <w:marLeft w:val="0"/>
          <w:marRight w:val="0"/>
          <w:marTop w:val="0"/>
          <w:marBottom w:val="0"/>
          <w:divBdr>
            <w:top w:val="none" w:sz="0" w:space="0" w:color="auto"/>
            <w:left w:val="none" w:sz="0" w:space="0" w:color="auto"/>
            <w:bottom w:val="none" w:sz="0" w:space="0" w:color="auto"/>
            <w:right w:val="none" w:sz="0" w:space="0" w:color="auto"/>
          </w:divBdr>
        </w:div>
      </w:divsChild>
    </w:div>
    <w:div w:id="1051804623">
      <w:bodyDiv w:val="1"/>
      <w:marLeft w:val="0"/>
      <w:marRight w:val="0"/>
      <w:marTop w:val="0"/>
      <w:marBottom w:val="0"/>
      <w:divBdr>
        <w:top w:val="none" w:sz="0" w:space="0" w:color="auto"/>
        <w:left w:val="none" w:sz="0" w:space="0" w:color="auto"/>
        <w:bottom w:val="none" w:sz="0" w:space="0" w:color="auto"/>
        <w:right w:val="none" w:sz="0" w:space="0" w:color="auto"/>
      </w:divBdr>
    </w:div>
    <w:div w:id="1082143231">
      <w:bodyDiv w:val="1"/>
      <w:marLeft w:val="0"/>
      <w:marRight w:val="0"/>
      <w:marTop w:val="0"/>
      <w:marBottom w:val="0"/>
      <w:divBdr>
        <w:top w:val="none" w:sz="0" w:space="0" w:color="auto"/>
        <w:left w:val="none" w:sz="0" w:space="0" w:color="auto"/>
        <w:bottom w:val="none" w:sz="0" w:space="0" w:color="auto"/>
        <w:right w:val="none" w:sz="0" w:space="0" w:color="auto"/>
      </w:divBdr>
    </w:div>
    <w:div w:id="1082601311">
      <w:bodyDiv w:val="1"/>
      <w:marLeft w:val="0"/>
      <w:marRight w:val="0"/>
      <w:marTop w:val="0"/>
      <w:marBottom w:val="0"/>
      <w:divBdr>
        <w:top w:val="none" w:sz="0" w:space="0" w:color="auto"/>
        <w:left w:val="none" w:sz="0" w:space="0" w:color="auto"/>
        <w:bottom w:val="none" w:sz="0" w:space="0" w:color="auto"/>
        <w:right w:val="none" w:sz="0" w:space="0" w:color="auto"/>
      </w:divBdr>
    </w:div>
    <w:div w:id="1098987422">
      <w:bodyDiv w:val="1"/>
      <w:marLeft w:val="0"/>
      <w:marRight w:val="0"/>
      <w:marTop w:val="0"/>
      <w:marBottom w:val="0"/>
      <w:divBdr>
        <w:top w:val="none" w:sz="0" w:space="0" w:color="auto"/>
        <w:left w:val="none" w:sz="0" w:space="0" w:color="auto"/>
        <w:bottom w:val="none" w:sz="0" w:space="0" w:color="auto"/>
        <w:right w:val="none" w:sz="0" w:space="0" w:color="auto"/>
      </w:divBdr>
      <w:divsChild>
        <w:div w:id="1002899398">
          <w:marLeft w:val="0"/>
          <w:marRight w:val="0"/>
          <w:marTop w:val="0"/>
          <w:marBottom w:val="0"/>
          <w:divBdr>
            <w:top w:val="none" w:sz="0" w:space="0" w:color="auto"/>
            <w:left w:val="none" w:sz="0" w:space="0" w:color="auto"/>
            <w:bottom w:val="none" w:sz="0" w:space="0" w:color="auto"/>
            <w:right w:val="none" w:sz="0" w:space="0" w:color="auto"/>
          </w:divBdr>
          <w:divsChild>
            <w:div w:id="1663504253">
              <w:marLeft w:val="0"/>
              <w:marRight w:val="0"/>
              <w:marTop w:val="0"/>
              <w:marBottom w:val="0"/>
              <w:divBdr>
                <w:top w:val="none" w:sz="0" w:space="0" w:color="auto"/>
                <w:left w:val="none" w:sz="0" w:space="0" w:color="auto"/>
                <w:bottom w:val="none" w:sz="0" w:space="0" w:color="auto"/>
                <w:right w:val="none" w:sz="0" w:space="0" w:color="auto"/>
              </w:divBdr>
              <w:divsChild>
                <w:div w:id="297036423">
                  <w:marLeft w:val="0"/>
                  <w:marRight w:val="0"/>
                  <w:marTop w:val="150"/>
                  <w:marBottom w:val="0"/>
                  <w:divBdr>
                    <w:top w:val="single" w:sz="6" w:space="0" w:color="CCCCCC"/>
                    <w:left w:val="single" w:sz="6" w:space="0" w:color="CCCCCC"/>
                    <w:bottom w:val="single" w:sz="6" w:space="0" w:color="CCCCCC"/>
                    <w:right w:val="single" w:sz="6" w:space="0" w:color="CCCCCC"/>
                  </w:divBdr>
                  <w:divsChild>
                    <w:div w:id="145655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6802">
      <w:bodyDiv w:val="1"/>
      <w:marLeft w:val="0"/>
      <w:marRight w:val="0"/>
      <w:marTop w:val="0"/>
      <w:marBottom w:val="0"/>
      <w:divBdr>
        <w:top w:val="none" w:sz="0" w:space="0" w:color="auto"/>
        <w:left w:val="none" w:sz="0" w:space="0" w:color="auto"/>
        <w:bottom w:val="none" w:sz="0" w:space="0" w:color="auto"/>
        <w:right w:val="none" w:sz="0" w:space="0" w:color="auto"/>
      </w:divBdr>
    </w:div>
    <w:div w:id="1130394990">
      <w:bodyDiv w:val="1"/>
      <w:marLeft w:val="0"/>
      <w:marRight w:val="0"/>
      <w:marTop w:val="0"/>
      <w:marBottom w:val="0"/>
      <w:divBdr>
        <w:top w:val="none" w:sz="0" w:space="0" w:color="auto"/>
        <w:left w:val="none" w:sz="0" w:space="0" w:color="auto"/>
        <w:bottom w:val="none" w:sz="0" w:space="0" w:color="auto"/>
        <w:right w:val="none" w:sz="0" w:space="0" w:color="auto"/>
      </w:divBdr>
    </w:div>
    <w:div w:id="1169517667">
      <w:bodyDiv w:val="1"/>
      <w:marLeft w:val="0"/>
      <w:marRight w:val="0"/>
      <w:marTop w:val="0"/>
      <w:marBottom w:val="0"/>
      <w:divBdr>
        <w:top w:val="none" w:sz="0" w:space="0" w:color="auto"/>
        <w:left w:val="none" w:sz="0" w:space="0" w:color="auto"/>
        <w:bottom w:val="none" w:sz="0" w:space="0" w:color="auto"/>
        <w:right w:val="none" w:sz="0" w:space="0" w:color="auto"/>
      </w:divBdr>
    </w:div>
    <w:div w:id="1170366165">
      <w:bodyDiv w:val="1"/>
      <w:marLeft w:val="0"/>
      <w:marRight w:val="0"/>
      <w:marTop w:val="0"/>
      <w:marBottom w:val="0"/>
      <w:divBdr>
        <w:top w:val="none" w:sz="0" w:space="0" w:color="auto"/>
        <w:left w:val="none" w:sz="0" w:space="0" w:color="auto"/>
        <w:bottom w:val="none" w:sz="0" w:space="0" w:color="auto"/>
        <w:right w:val="none" w:sz="0" w:space="0" w:color="auto"/>
      </w:divBdr>
    </w:div>
    <w:div w:id="1271476712">
      <w:bodyDiv w:val="1"/>
      <w:marLeft w:val="0"/>
      <w:marRight w:val="0"/>
      <w:marTop w:val="0"/>
      <w:marBottom w:val="0"/>
      <w:divBdr>
        <w:top w:val="none" w:sz="0" w:space="0" w:color="auto"/>
        <w:left w:val="none" w:sz="0" w:space="0" w:color="auto"/>
        <w:bottom w:val="none" w:sz="0" w:space="0" w:color="auto"/>
        <w:right w:val="none" w:sz="0" w:space="0" w:color="auto"/>
      </w:divBdr>
    </w:div>
    <w:div w:id="1281230084">
      <w:bodyDiv w:val="1"/>
      <w:marLeft w:val="0"/>
      <w:marRight w:val="0"/>
      <w:marTop w:val="0"/>
      <w:marBottom w:val="0"/>
      <w:divBdr>
        <w:top w:val="none" w:sz="0" w:space="0" w:color="auto"/>
        <w:left w:val="none" w:sz="0" w:space="0" w:color="auto"/>
        <w:bottom w:val="none" w:sz="0" w:space="0" w:color="auto"/>
        <w:right w:val="none" w:sz="0" w:space="0" w:color="auto"/>
      </w:divBdr>
    </w:div>
    <w:div w:id="1287159019">
      <w:bodyDiv w:val="1"/>
      <w:marLeft w:val="0"/>
      <w:marRight w:val="0"/>
      <w:marTop w:val="0"/>
      <w:marBottom w:val="0"/>
      <w:divBdr>
        <w:top w:val="none" w:sz="0" w:space="0" w:color="auto"/>
        <w:left w:val="none" w:sz="0" w:space="0" w:color="auto"/>
        <w:bottom w:val="none" w:sz="0" w:space="0" w:color="auto"/>
        <w:right w:val="none" w:sz="0" w:space="0" w:color="auto"/>
      </w:divBdr>
    </w:div>
    <w:div w:id="1293556072">
      <w:bodyDiv w:val="1"/>
      <w:marLeft w:val="0"/>
      <w:marRight w:val="0"/>
      <w:marTop w:val="0"/>
      <w:marBottom w:val="0"/>
      <w:divBdr>
        <w:top w:val="none" w:sz="0" w:space="0" w:color="auto"/>
        <w:left w:val="none" w:sz="0" w:space="0" w:color="auto"/>
        <w:bottom w:val="none" w:sz="0" w:space="0" w:color="auto"/>
        <w:right w:val="none" w:sz="0" w:space="0" w:color="auto"/>
      </w:divBdr>
    </w:div>
    <w:div w:id="1338389679">
      <w:bodyDiv w:val="1"/>
      <w:marLeft w:val="0"/>
      <w:marRight w:val="0"/>
      <w:marTop w:val="0"/>
      <w:marBottom w:val="0"/>
      <w:divBdr>
        <w:top w:val="none" w:sz="0" w:space="0" w:color="auto"/>
        <w:left w:val="none" w:sz="0" w:space="0" w:color="auto"/>
        <w:bottom w:val="none" w:sz="0" w:space="0" w:color="auto"/>
        <w:right w:val="none" w:sz="0" w:space="0" w:color="auto"/>
      </w:divBdr>
    </w:div>
    <w:div w:id="1340741936">
      <w:bodyDiv w:val="1"/>
      <w:marLeft w:val="0"/>
      <w:marRight w:val="0"/>
      <w:marTop w:val="0"/>
      <w:marBottom w:val="0"/>
      <w:divBdr>
        <w:top w:val="none" w:sz="0" w:space="0" w:color="auto"/>
        <w:left w:val="none" w:sz="0" w:space="0" w:color="auto"/>
        <w:bottom w:val="none" w:sz="0" w:space="0" w:color="auto"/>
        <w:right w:val="none" w:sz="0" w:space="0" w:color="auto"/>
      </w:divBdr>
    </w:div>
    <w:div w:id="1401781791">
      <w:bodyDiv w:val="1"/>
      <w:marLeft w:val="0"/>
      <w:marRight w:val="0"/>
      <w:marTop w:val="0"/>
      <w:marBottom w:val="0"/>
      <w:divBdr>
        <w:top w:val="none" w:sz="0" w:space="0" w:color="auto"/>
        <w:left w:val="none" w:sz="0" w:space="0" w:color="auto"/>
        <w:bottom w:val="none" w:sz="0" w:space="0" w:color="auto"/>
        <w:right w:val="none" w:sz="0" w:space="0" w:color="auto"/>
      </w:divBdr>
    </w:div>
    <w:div w:id="1404909700">
      <w:bodyDiv w:val="1"/>
      <w:marLeft w:val="0"/>
      <w:marRight w:val="0"/>
      <w:marTop w:val="0"/>
      <w:marBottom w:val="0"/>
      <w:divBdr>
        <w:top w:val="none" w:sz="0" w:space="0" w:color="auto"/>
        <w:left w:val="none" w:sz="0" w:space="0" w:color="auto"/>
        <w:bottom w:val="none" w:sz="0" w:space="0" w:color="auto"/>
        <w:right w:val="none" w:sz="0" w:space="0" w:color="auto"/>
      </w:divBdr>
    </w:div>
    <w:div w:id="1423837393">
      <w:bodyDiv w:val="1"/>
      <w:marLeft w:val="0"/>
      <w:marRight w:val="0"/>
      <w:marTop w:val="0"/>
      <w:marBottom w:val="0"/>
      <w:divBdr>
        <w:top w:val="none" w:sz="0" w:space="0" w:color="auto"/>
        <w:left w:val="none" w:sz="0" w:space="0" w:color="auto"/>
        <w:bottom w:val="none" w:sz="0" w:space="0" w:color="auto"/>
        <w:right w:val="none" w:sz="0" w:space="0" w:color="auto"/>
      </w:divBdr>
    </w:div>
    <w:div w:id="1446540769">
      <w:bodyDiv w:val="1"/>
      <w:marLeft w:val="0"/>
      <w:marRight w:val="0"/>
      <w:marTop w:val="0"/>
      <w:marBottom w:val="0"/>
      <w:divBdr>
        <w:top w:val="none" w:sz="0" w:space="0" w:color="auto"/>
        <w:left w:val="none" w:sz="0" w:space="0" w:color="auto"/>
        <w:bottom w:val="none" w:sz="0" w:space="0" w:color="auto"/>
        <w:right w:val="none" w:sz="0" w:space="0" w:color="auto"/>
      </w:divBdr>
    </w:div>
    <w:div w:id="1485777833">
      <w:bodyDiv w:val="1"/>
      <w:marLeft w:val="0"/>
      <w:marRight w:val="0"/>
      <w:marTop w:val="0"/>
      <w:marBottom w:val="0"/>
      <w:divBdr>
        <w:top w:val="none" w:sz="0" w:space="0" w:color="auto"/>
        <w:left w:val="none" w:sz="0" w:space="0" w:color="auto"/>
        <w:bottom w:val="none" w:sz="0" w:space="0" w:color="auto"/>
        <w:right w:val="none" w:sz="0" w:space="0" w:color="auto"/>
      </w:divBdr>
    </w:div>
    <w:div w:id="1536889175">
      <w:bodyDiv w:val="1"/>
      <w:marLeft w:val="0"/>
      <w:marRight w:val="0"/>
      <w:marTop w:val="0"/>
      <w:marBottom w:val="0"/>
      <w:divBdr>
        <w:top w:val="none" w:sz="0" w:space="0" w:color="auto"/>
        <w:left w:val="none" w:sz="0" w:space="0" w:color="auto"/>
        <w:bottom w:val="none" w:sz="0" w:space="0" w:color="auto"/>
        <w:right w:val="none" w:sz="0" w:space="0" w:color="auto"/>
      </w:divBdr>
    </w:div>
    <w:div w:id="1662779646">
      <w:bodyDiv w:val="1"/>
      <w:marLeft w:val="0"/>
      <w:marRight w:val="0"/>
      <w:marTop w:val="0"/>
      <w:marBottom w:val="0"/>
      <w:divBdr>
        <w:top w:val="none" w:sz="0" w:space="0" w:color="auto"/>
        <w:left w:val="none" w:sz="0" w:space="0" w:color="auto"/>
        <w:bottom w:val="none" w:sz="0" w:space="0" w:color="auto"/>
        <w:right w:val="none" w:sz="0" w:space="0" w:color="auto"/>
      </w:divBdr>
    </w:div>
    <w:div w:id="1795169387">
      <w:bodyDiv w:val="1"/>
      <w:marLeft w:val="0"/>
      <w:marRight w:val="0"/>
      <w:marTop w:val="0"/>
      <w:marBottom w:val="0"/>
      <w:divBdr>
        <w:top w:val="none" w:sz="0" w:space="0" w:color="auto"/>
        <w:left w:val="none" w:sz="0" w:space="0" w:color="auto"/>
        <w:bottom w:val="none" w:sz="0" w:space="0" w:color="auto"/>
        <w:right w:val="none" w:sz="0" w:space="0" w:color="auto"/>
      </w:divBdr>
    </w:div>
    <w:div w:id="1862741826">
      <w:bodyDiv w:val="1"/>
      <w:marLeft w:val="0"/>
      <w:marRight w:val="0"/>
      <w:marTop w:val="0"/>
      <w:marBottom w:val="0"/>
      <w:divBdr>
        <w:top w:val="none" w:sz="0" w:space="0" w:color="auto"/>
        <w:left w:val="none" w:sz="0" w:space="0" w:color="auto"/>
        <w:bottom w:val="none" w:sz="0" w:space="0" w:color="auto"/>
        <w:right w:val="none" w:sz="0" w:space="0" w:color="auto"/>
      </w:divBdr>
    </w:div>
    <w:div w:id="1895123388">
      <w:bodyDiv w:val="1"/>
      <w:marLeft w:val="0"/>
      <w:marRight w:val="0"/>
      <w:marTop w:val="0"/>
      <w:marBottom w:val="0"/>
      <w:divBdr>
        <w:top w:val="none" w:sz="0" w:space="0" w:color="auto"/>
        <w:left w:val="none" w:sz="0" w:space="0" w:color="auto"/>
        <w:bottom w:val="none" w:sz="0" w:space="0" w:color="auto"/>
        <w:right w:val="none" w:sz="0" w:space="0" w:color="auto"/>
      </w:divBdr>
    </w:div>
    <w:div w:id="1896310594">
      <w:bodyDiv w:val="1"/>
      <w:marLeft w:val="0"/>
      <w:marRight w:val="0"/>
      <w:marTop w:val="0"/>
      <w:marBottom w:val="0"/>
      <w:divBdr>
        <w:top w:val="none" w:sz="0" w:space="0" w:color="auto"/>
        <w:left w:val="none" w:sz="0" w:space="0" w:color="auto"/>
        <w:bottom w:val="none" w:sz="0" w:space="0" w:color="auto"/>
        <w:right w:val="none" w:sz="0" w:space="0" w:color="auto"/>
      </w:divBdr>
    </w:div>
    <w:div w:id="1915242719">
      <w:bodyDiv w:val="1"/>
      <w:marLeft w:val="0"/>
      <w:marRight w:val="0"/>
      <w:marTop w:val="0"/>
      <w:marBottom w:val="0"/>
      <w:divBdr>
        <w:top w:val="none" w:sz="0" w:space="0" w:color="auto"/>
        <w:left w:val="none" w:sz="0" w:space="0" w:color="auto"/>
        <w:bottom w:val="none" w:sz="0" w:space="0" w:color="auto"/>
        <w:right w:val="none" w:sz="0" w:space="0" w:color="auto"/>
      </w:divBdr>
    </w:div>
    <w:div w:id="1979609051">
      <w:bodyDiv w:val="1"/>
      <w:marLeft w:val="0"/>
      <w:marRight w:val="0"/>
      <w:marTop w:val="0"/>
      <w:marBottom w:val="0"/>
      <w:divBdr>
        <w:top w:val="none" w:sz="0" w:space="0" w:color="auto"/>
        <w:left w:val="none" w:sz="0" w:space="0" w:color="auto"/>
        <w:bottom w:val="none" w:sz="0" w:space="0" w:color="auto"/>
        <w:right w:val="none" w:sz="0" w:space="0" w:color="auto"/>
      </w:divBdr>
    </w:div>
    <w:div w:id="2018194327">
      <w:bodyDiv w:val="1"/>
      <w:marLeft w:val="0"/>
      <w:marRight w:val="0"/>
      <w:marTop w:val="0"/>
      <w:marBottom w:val="0"/>
      <w:divBdr>
        <w:top w:val="none" w:sz="0" w:space="0" w:color="auto"/>
        <w:left w:val="none" w:sz="0" w:space="0" w:color="auto"/>
        <w:bottom w:val="none" w:sz="0" w:space="0" w:color="auto"/>
        <w:right w:val="none" w:sz="0" w:space="0" w:color="auto"/>
      </w:divBdr>
    </w:div>
    <w:div w:id="2052460974">
      <w:bodyDiv w:val="1"/>
      <w:marLeft w:val="0"/>
      <w:marRight w:val="0"/>
      <w:marTop w:val="0"/>
      <w:marBottom w:val="0"/>
      <w:divBdr>
        <w:top w:val="none" w:sz="0" w:space="0" w:color="auto"/>
        <w:left w:val="none" w:sz="0" w:space="0" w:color="auto"/>
        <w:bottom w:val="none" w:sz="0" w:space="0" w:color="auto"/>
        <w:right w:val="none" w:sz="0" w:space="0" w:color="auto"/>
      </w:divBdr>
    </w:div>
    <w:div w:id="210864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numbering" Target="numbering.xml"/><Relationship Id="rId21" Type="http://schemas.openxmlformats.org/officeDocument/2006/relationships/image" Target="media/image10.emf"/><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4.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image" Target="media/image13.emf"/><Relationship Id="rId5" Type="http://schemas.microsoft.com/office/2007/relationships/stylesWithEffects" Target="stylesWithEffect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8.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footer" Target="foot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engsha\Application%20Data\Microsoft\Templates\&#25216;&#26415;&#25991;&#26723;.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809703-972F-4497-9045-8744F8A8A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技术文档.dotx</Template>
  <TotalTime>5490</TotalTime>
  <Pages>11</Pages>
  <Words>967</Words>
  <Characters>5514</Characters>
  <Application>Microsoft Office Word</Application>
  <DocSecurity>0</DocSecurity>
  <Lines>45</Lines>
  <Paragraphs>12</Paragraphs>
  <ScaleCrop>false</ScaleCrop>
  <Company>台州市商务局</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商务统计信息</dc:title>
  <dc:subject>2018年1-12月</dc:subject>
  <dc:creator>办公室：tzswjzhc@163.com</dc:creator>
  <cp:lastModifiedBy>dell</cp:lastModifiedBy>
  <cp:revision>1474</cp:revision>
  <cp:lastPrinted>2019-01-31T02:47:00Z</cp:lastPrinted>
  <dcterms:created xsi:type="dcterms:W3CDTF">2017-07-31T02:53:00Z</dcterms:created>
  <dcterms:modified xsi:type="dcterms:W3CDTF">2019-11-05T07:31:00Z</dcterms:modified>
</cp:coreProperties>
</file>