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EF" w:rsidRDefault="00FF3AEF" w:rsidP="00FF3AEF">
      <w:pPr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  <w:lang w:bidi="ar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附件1</w:t>
      </w:r>
    </w:p>
    <w:p w:rsidR="00FF3AEF" w:rsidRDefault="00FF3AEF" w:rsidP="00FF3AEF">
      <w:pPr>
        <w:spacing w:line="592" w:lineRule="exact"/>
        <w:rPr>
          <w:rFonts w:ascii="黑体" w:eastAsia="黑体" w:hAnsi="仿宋" w:cs="仿宋" w:hint="eastAsia"/>
          <w:color w:val="000000"/>
          <w:sz w:val="32"/>
          <w:szCs w:val="32"/>
          <w:lang w:bidi="ar"/>
        </w:rPr>
      </w:pPr>
    </w:p>
    <w:p w:rsidR="00FF3AEF" w:rsidRDefault="00FF3AEF" w:rsidP="00FF3AEF">
      <w:pPr>
        <w:spacing w:line="592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仿宋" w:cs="仿宋" w:hint="eastAsia"/>
          <w:color w:val="000000"/>
          <w:sz w:val="44"/>
          <w:szCs w:val="44"/>
          <w:lang w:bidi="ar"/>
        </w:rPr>
        <w:t>关于加油站设置间距标准解释</w:t>
      </w:r>
    </w:p>
    <w:bookmarkEnd w:id="0"/>
    <w:p w:rsidR="00FF3AEF" w:rsidRDefault="00FF3AEF" w:rsidP="00FF3AEF">
      <w:pPr>
        <w:spacing w:line="592" w:lineRule="exact"/>
        <w:ind w:firstLineChars="200" w:firstLine="720"/>
        <w:jc w:val="center"/>
        <w:rPr>
          <w:rFonts w:ascii="仿宋_GB2312" w:eastAsia="仿宋_GB2312" w:hAnsi="仿宋" w:cs="仿宋" w:hint="eastAsia"/>
          <w:color w:val="000000"/>
          <w:sz w:val="36"/>
          <w:szCs w:val="36"/>
        </w:rPr>
      </w:pP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依据《成品油市场管理办法》（商务部令2006年23号令）、《汽车加油加气站设计与施工规范》（GB50156-2012）、《城市综合交通体系规划标准》（GBT 51328-2018）、《成品油零售企业管理技术规范》（SB/T10390）等相关国家标准，布点设置间距解释如下：</w:t>
      </w:r>
    </w:p>
    <w:p w:rsidR="00FF3AEF" w:rsidRDefault="00FF3AEF" w:rsidP="00FF3AEF">
      <w:pPr>
        <w:spacing w:line="592" w:lineRule="exact"/>
        <w:ind w:firstLineChars="200" w:firstLine="64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一、关于城区加油站设置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城区加油站服务半径不低于0.9公里，即与周边最近加油站的车行距离不低于1.8公里。</w:t>
      </w:r>
    </w:p>
    <w:p w:rsidR="00FF3AEF" w:rsidRDefault="00FF3AEF" w:rsidP="00FF3AEF">
      <w:pPr>
        <w:spacing w:line="592" w:lineRule="exact"/>
        <w:ind w:firstLineChars="200" w:firstLine="64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二、关于国省道加油站设置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国道、省道公路每百公里不超过6对（12座），即在总量符合要求的基础上，与相邻加油站车行距离原则上不低于8.3公里。</w:t>
      </w:r>
    </w:p>
    <w:p w:rsidR="00FF3AEF" w:rsidRDefault="00FF3AEF" w:rsidP="00FF3AEF">
      <w:pPr>
        <w:spacing w:line="592" w:lineRule="exact"/>
        <w:ind w:firstLineChars="200" w:firstLine="64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三、关于县乡道加油站设置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县乡道公路每百公里不超过5对（10座），即在总量符合要求的基础上，与相邻加油站车行距离原则上不低于10公里。</w:t>
      </w:r>
    </w:p>
    <w:p w:rsidR="00FF3AEF" w:rsidRDefault="00FF3AEF" w:rsidP="00FF3AEF">
      <w:pPr>
        <w:spacing w:line="592" w:lineRule="exact"/>
        <w:ind w:firstLineChars="200" w:firstLine="64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四、关于高速公路加油站设置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高速公路每百公里不超过2对，即服务区50公里一对（2座）加油站。</w:t>
      </w:r>
    </w:p>
    <w:p w:rsidR="00FF3AEF" w:rsidRDefault="00FF3AEF" w:rsidP="00FF3AEF">
      <w:pPr>
        <w:spacing w:line="592" w:lineRule="exact"/>
        <w:ind w:firstLineChars="200" w:firstLine="64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lastRenderedPageBreak/>
        <w:t>五、关于乡镇镇区加油站设置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对于年用油量1000吨以上或车辆保有量200辆以上的乡镇，目前尚无加油站的，镇区可设置加油站1个，间距标准可适当放宽，与城区已有最近加油站的车行距离原则上不低于1.8公里，与国省道、县乡道已有最近加油站的车行距离原则上不低于3.5公里。</w:t>
      </w:r>
    </w:p>
    <w:p w:rsidR="00FF3AEF" w:rsidRDefault="00FF3AEF" w:rsidP="00FF3AEF">
      <w:pPr>
        <w:spacing w:line="592" w:lineRule="exact"/>
        <w:ind w:firstLineChars="200" w:firstLine="640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六、关于人口集聚</w:t>
      </w:r>
      <w:proofErr w:type="gramStart"/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较大镇</w:t>
      </w:r>
      <w:proofErr w:type="gramEnd"/>
      <w:r>
        <w:rPr>
          <w:rFonts w:ascii="黑体" w:eastAsia="黑体" w:hAnsi="仿宋" w:cs="仿宋" w:hint="eastAsia"/>
          <w:color w:val="000000"/>
          <w:sz w:val="32"/>
          <w:szCs w:val="32"/>
          <w:lang w:bidi="ar"/>
        </w:rPr>
        <w:t>的界定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人口集聚</w:t>
      </w:r>
      <w:proofErr w:type="gramStart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较大镇</w:t>
      </w:r>
      <w:proofErr w:type="gramEnd"/>
      <w:r>
        <w:rPr>
          <w:rFonts w:ascii="仿宋_GB2312" w:eastAsia="仿宋_GB2312" w:hAnsi="仿宋" w:cs="仿宋" w:hint="eastAsia"/>
          <w:color w:val="000000"/>
          <w:sz w:val="32"/>
          <w:szCs w:val="32"/>
          <w:lang w:bidi="ar"/>
        </w:rPr>
        <w:t>是指列入省政府办公厅《关于加快推进中心镇培育工程的若干意见》（浙政办发〔2007〕13号）、《关于进一步加快中心镇发展和改革的若干意见》（浙委办〔2010〕115号）和《关于增补省级中心镇的通知》（浙政办发〔2012〕113号）认定的省级中心镇，或纳入《关于开展小城市培育试点的通知》（浙政办发〔2010〕162号）、《关于公布小城市培育试点扩围名单的通知》（浙政办发〔2014〕43号）、《关于公布第三批小城市培育试点名单的通知》（浙政办发〔2016〕168号）认定的小城市培育试点镇，或已通过省政府培育验收的特色小镇，可参照城区加油站设置间距。</w:t>
      </w: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FF3AEF" w:rsidRDefault="00FF3AEF" w:rsidP="00FF3AEF">
      <w:pPr>
        <w:spacing w:line="592" w:lineRule="exact"/>
        <w:ind w:firstLineChars="200" w:firstLine="640"/>
        <w:rPr>
          <w:rFonts w:ascii="仿宋_GB2312" w:eastAsia="仿宋_GB2312" w:hAnsi="仿宋" w:cs="仿宋" w:hint="eastAsia"/>
          <w:color w:val="000000"/>
          <w:sz w:val="32"/>
          <w:szCs w:val="32"/>
        </w:rPr>
      </w:pPr>
    </w:p>
    <w:p w:rsidR="00475882" w:rsidRPr="00FF3AEF" w:rsidRDefault="00475882"/>
    <w:sectPr w:rsidR="00475882" w:rsidRPr="00FF3A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AEF"/>
    <w:rsid w:val="00475882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2020-04-02T06:34:00Z</dcterms:created>
  <dcterms:modified xsi:type="dcterms:W3CDTF">2020-04-02T06:34:00Z</dcterms:modified>
</cp:coreProperties>
</file>